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A499" w14:textId="0A3CC4D2" w:rsidR="001C6F13" w:rsidRPr="00BD24EB" w:rsidRDefault="006D5A65" w:rsidP="00BD24EB">
      <w:pPr>
        <w:jc w:val="center"/>
      </w:pPr>
      <w:r w:rsidRPr="006D5A65">
        <w:rPr>
          <w:b/>
          <w:bCs/>
          <w:sz w:val="28"/>
          <w:szCs w:val="28"/>
        </w:rPr>
        <w:t>Template for RESPOND Statistical Analysis Plan</w:t>
      </w:r>
    </w:p>
    <w:p w14:paraId="34B0F99F" w14:textId="681E8C02" w:rsidR="006D5A65" w:rsidRDefault="006D5A65" w:rsidP="006D5A65">
      <w:pPr>
        <w:pStyle w:val="ListParagraph"/>
        <w:numPr>
          <w:ilvl w:val="0"/>
          <w:numId w:val="1"/>
        </w:numPr>
      </w:pPr>
      <w:r>
        <w:t>Research objectives</w:t>
      </w:r>
    </w:p>
    <w:p w14:paraId="7508FE63" w14:textId="1EA8AAD3" w:rsidR="006D5A65" w:rsidRPr="006D5A65" w:rsidRDefault="006D5A65" w:rsidP="006D5A65">
      <w:pPr>
        <w:ind w:firstLine="720"/>
        <w:rPr>
          <w:i/>
          <w:iCs/>
        </w:rPr>
      </w:pPr>
      <w:r w:rsidRPr="006D5A65">
        <w:rPr>
          <w:i/>
          <w:iCs/>
          <w:highlight w:val="yellow"/>
        </w:rPr>
        <w:t>List research objectives and outcomes concisely and clearly</w:t>
      </w:r>
    </w:p>
    <w:p w14:paraId="1A9A1961" w14:textId="69A221A2" w:rsidR="00807A4D" w:rsidRDefault="00807A4D" w:rsidP="006D5A65">
      <w:pPr>
        <w:pStyle w:val="ListParagraph"/>
        <w:numPr>
          <w:ilvl w:val="0"/>
          <w:numId w:val="1"/>
        </w:numPr>
      </w:pPr>
      <w:r>
        <w:t>Study design</w:t>
      </w:r>
    </w:p>
    <w:p w14:paraId="4F111803" w14:textId="4123CB2F" w:rsidR="00807A4D" w:rsidRDefault="00807A4D" w:rsidP="00807A4D">
      <w:pPr>
        <w:pStyle w:val="ListParagraph"/>
      </w:pPr>
      <w:r w:rsidRPr="00807A4D">
        <w:rPr>
          <w:highlight w:val="yellow"/>
        </w:rPr>
        <w:t>Cross sectional, longitudinal, nested case control etc.</w:t>
      </w:r>
    </w:p>
    <w:p w14:paraId="15369F6C" w14:textId="77777777" w:rsidR="00807A4D" w:rsidRDefault="00807A4D" w:rsidP="00807A4D">
      <w:pPr>
        <w:pStyle w:val="ListParagraph"/>
      </w:pPr>
    </w:p>
    <w:p w14:paraId="5676C81D" w14:textId="00A908BC" w:rsidR="006D5A65" w:rsidRDefault="006D5A65" w:rsidP="00DF4309">
      <w:pPr>
        <w:pStyle w:val="ListParagraph"/>
        <w:numPr>
          <w:ilvl w:val="0"/>
          <w:numId w:val="1"/>
        </w:numPr>
      </w:pPr>
      <w:r>
        <w:t>Study population</w:t>
      </w:r>
    </w:p>
    <w:p w14:paraId="20CC8F99" w14:textId="6F1F37B3" w:rsidR="00E40BB4" w:rsidRDefault="00E40BB4" w:rsidP="00E40BB4">
      <w:pPr>
        <w:ind w:left="709"/>
      </w:pPr>
      <w:r w:rsidRPr="004717CA">
        <w:rPr>
          <w:highlight w:val="yellow"/>
        </w:rPr>
        <w:t>Where possible, please use the standard inclusion and exclusion criteria</w:t>
      </w:r>
      <w:r w:rsidR="00BD24EB" w:rsidRPr="004717CA">
        <w:rPr>
          <w:highlight w:val="yellow"/>
        </w:rPr>
        <w:t>,</w:t>
      </w:r>
      <w:r w:rsidRPr="004717CA">
        <w:rPr>
          <w:highlight w:val="yellow"/>
        </w:rPr>
        <w:t xml:space="preserve"> used in previous RESPOND analyses, as listed below. If these criteria are not applied, a justification </w:t>
      </w:r>
      <w:r w:rsidR="00BD24EB" w:rsidRPr="004717CA">
        <w:rPr>
          <w:highlight w:val="yellow"/>
        </w:rPr>
        <w:t xml:space="preserve">for </w:t>
      </w:r>
      <w:r w:rsidRPr="004717CA">
        <w:rPr>
          <w:highlight w:val="yellow"/>
        </w:rPr>
        <w:t>should be included here.</w:t>
      </w:r>
    </w:p>
    <w:p w14:paraId="25CC357C" w14:textId="27F438A0" w:rsidR="006D5A65" w:rsidRDefault="006D5A65" w:rsidP="006D5A65">
      <w:pPr>
        <w:pStyle w:val="ListParagraph"/>
        <w:numPr>
          <w:ilvl w:val="1"/>
          <w:numId w:val="1"/>
        </w:numPr>
      </w:pPr>
      <w:r>
        <w:t>Inclusion criteria</w:t>
      </w:r>
    </w:p>
    <w:p w14:paraId="49D5FCB0" w14:textId="77777777" w:rsidR="00E40BB4" w:rsidRPr="00E40BB4" w:rsidRDefault="00070ED4" w:rsidP="00E40BB4">
      <w:pPr>
        <w:pStyle w:val="ListParagraph"/>
        <w:numPr>
          <w:ilvl w:val="0"/>
          <w:numId w:val="3"/>
        </w:numPr>
      </w:pPr>
      <w:r w:rsidRPr="00DF3259">
        <w:rPr>
          <w:rFonts w:eastAsia="Times New Roman" w:cstheme="minorHAnsi"/>
        </w:rPr>
        <w:t>aged 18 years or older at baseline</w:t>
      </w:r>
    </w:p>
    <w:p w14:paraId="7E8FB03B" w14:textId="4AC095A1" w:rsidR="00070ED4" w:rsidRDefault="00070ED4" w:rsidP="00E40BB4">
      <w:pPr>
        <w:pStyle w:val="ListParagraph"/>
        <w:numPr>
          <w:ilvl w:val="0"/>
          <w:numId w:val="3"/>
        </w:numPr>
      </w:pPr>
      <w:r w:rsidRPr="00E40BB4">
        <w:rPr>
          <w:rFonts w:eastAsia="Times New Roman" w:cstheme="minorHAnsi"/>
        </w:rPr>
        <w:t xml:space="preserve">have a CD4 count and </w:t>
      </w:r>
      <w:r w:rsidR="00E40BB4" w:rsidRPr="00E40BB4">
        <w:rPr>
          <w:rFonts w:eastAsia="Times New Roman" w:cstheme="minorHAnsi"/>
        </w:rPr>
        <w:t>viral load</w:t>
      </w:r>
      <w:r w:rsidRPr="00E40BB4">
        <w:rPr>
          <w:rFonts w:eastAsia="Times New Roman" w:cstheme="minorHAnsi"/>
        </w:rPr>
        <w:t xml:space="preserve"> measurement either 1 year prior to or within 12 weeks after</w:t>
      </w:r>
      <w:r w:rsidRPr="00A078DB">
        <w:rPr>
          <w:rFonts w:eastAsia="Times New Roman" w:cstheme="minorHAnsi"/>
        </w:rPr>
        <w:t xml:space="preserve"> baseline</w:t>
      </w:r>
    </w:p>
    <w:p w14:paraId="5800AE2B" w14:textId="4717792E" w:rsidR="005A4011" w:rsidRDefault="006D5A65" w:rsidP="006D5A65">
      <w:pPr>
        <w:pStyle w:val="ListParagraph"/>
        <w:numPr>
          <w:ilvl w:val="1"/>
          <w:numId w:val="1"/>
        </w:numPr>
      </w:pPr>
      <w:r>
        <w:t>Exclusion criteria</w:t>
      </w:r>
    </w:p>
    <w:p w14:paraId="68E5A12A" w14:textId="0CAAA5DD" w:rsidR="00E40BB4" w:rsidRDefault="00E40BB4" w:rsidP="00E40BB4">
      <w:pPr>
        <w:pStyle w:val="ListParagraph"/>
        <w:numPr>
          <w:ilvl w:val="0"/>
          <w:numId w:val="3"/>
        </w:numPr>
      </w:pPr>
      <w:r>
        <w:t>Missing information on gender</w:t>
      </w:r>
    </w:p>
    <w:p w14:paraId="56CCE43A" w14:textId="023D1448" w:rsidR="00070ED4" w:rsidRDefault="00E40BB4" w:rsidP="00E40BB4">
      <w:pPr>
        <w:pStyle w:val="ListParagraph"/>
        <w:numPr>
          <w:ilvl w:val="0"/>
          <w:numId w:val="3"/>
        </w:numPr>
      </w:pPr>
      <w:r>
        <w:t>For analyses focusing on clinical events, individuals from c</w:t>
      </w:r>
      <w:r w:rsidR="00070ED4">
        <w:t>ohorts with low event reporting</w:t>
      </w:r>
    </w:p>
    <w:p w14:paraId="7C3FC9DF" w14:textId="1BE171F4" w:rsidR="00BD24EB" w:rsidRDefault="00BD24EB" w:rsidP="00BD24EB">
      <w:pPr>
        <w:ind w:left="720"/>
      </w:pPr>
      <w:r w:rsidRPr="004717CA">
        <w:rPr>
          <w:highlight w:val="yellow"/>
        </w:rPr>
        <w:t xml:space="preserve">Please </w:t>
      </w:r>
      <w:r w:rsidR="004717CA">
        <w:rPr>
          <w:highlight w:val="yellow"/>
        </w:rPr>
        <w:t>ask your internal RESPOND statistician to provide a copy of the most recent inclusion of key variables and events document</w:t>
      </w:r>
    </w:p>
    <w:p w14:paraId="524E770B" w14:textId="46D43A49" w:rsidR="006D5A65" w:rsidRDefault="006D5A65" w:rsidP="006D5A65">
      <w:pPr>
        <w:pStyle w:val="ListParagraph"/>
        <w:numPr>
          <w:ilvl w:val="1"/>
          <w:numId w:val="1"/>
        </w:numPr>
      </w:pPr>
      <w:r>
        <w:t>Baseline and censoring date</w:t>
      </w:r>
    </w:p>
    <w:p w14:paraId="36000FB1" w14:textId="025732A8" w:rsidR="00807A4D" w:rsidRDefault="00807A4D" w:rsidP="006D5A65">
      <w:pPr>
        <w:pStyle w:val="ListParagraph"/>
        <w:numPr>
          <w:ilvl w:val="1"/>
          <w:numId w:val="1"/>
        </w:numPr>
      </w:pPr>
      <w:r>
        <w:t>Key stratification factors</w:t>
      </w:r>
    </w:p>
    <w:p w14:paraId="27F41128" w14:textId="5BCA9955" w:rsidR="00882002" w:rsidRDefault="00591152" w:rsidP="00882002">
      <w:pPr>
        <w:pStyle w:val="ListParagraph"/>
        <w:ind w:left="1440"/>
      </w:pPr>
      <w:r>
        <w:t>Planned sub-group analyses should be defined a-priori</w:t>
      </w:r>
      <w:r w:rsidR="00922E46">
        <w:t xml:space="preserve"> or a test for interaction performed</w:t>
      </w:r>
      <w:r w:rsidR="00192CF9">
        <w:t xml:space="preserve">. To check the robustness of results analysis are often conducted stratified by </w:t>
      </w:r>
      <w:r w:rsidR="00922E46">
        <w:t>key sub-groups including gender (</w:t>
      </w:r>
      <w:r w:rsidR="004717CA">
        <w:t>m</w:t>
      </w:r>
      <w:r w:rsidR="00922E46">
        <w:t>ale/</w:t>
      </w:r>
      <w:r w:rsidR="004717CA">
        <w:t>f</w:t>
      </w:r>
      <w:r w:rsidR="00922E46">
        <w:t>emale)</w:t>
      </w:r>
      <w:r w:rsidR="00192CF9">
        <w:t xml:space="preserve"> or </w:t>
      </w:r>
      <w:r w:rsidR="004717CA">
        <w:t>antiretroviral n</w:t>
      </w:r>
      <w:r w:rsidR="00192CF9">
        <w:t>aïve/</w:t>
      </w:r>
      <w:r w:rsidR="004717CA">
        <w:t>e</w:t>
      </w:r>
      <w:r w:rsidR="00192CF9">
        <w:t>xperienced</w:t>
      </w:r>
    </w:p>
    <w:p w14:paraId="16744C22" w14:textId="3A8B3CBF" w:rsidR="006D5A65" w:rsidRDefault="00882002" w:rsidP="00DF4309">
      <w:pPr>
        <w:pStyle w:val="ListParagraph"/>
        <w:numPr>
          <w:ilvl w:val="0"/>
          <w:numId w:val="1"/>
        </w:numPr>
      </w:pPr>
      <w:r>
        <w:t>Definitions</w:t>
      </w:r>
    </w:p>
    <w:p w14:paraId="3B63FBAC" w14:textId="77777777" w:rsidR="00882002" w:rsidRDefault="00882002" w:rsidP="00882002">
      <w:pPr>
        <w:pStyle w:val="ListParagraph"/>
        <w:numPr>
          <w:ilvl w:val="1"/>
          <w:numId w:val="1"/>
        </w:numPr>
      </w:pPr>
      <w:r>
        <w:t>Exposure</w:t>
      </w:r>
    </w:p>
    <w:p w14:paraId="2B0090CB" w14:textId="77777777" w:rsidR="00882002" w:rsidRDefault="00882002" w:rsidP="00882002">
      <w:pPr>
        <w:pStyle w:val="ListParagraph"/>
        <w:numPr>
          <w:ilvl w:val="1"/>
          <w:numId w:val="1"/>
        </w:numPr>
      </w:pPr>
      <w:r>
        <w:t>Outcomes</w:t>
      </w:r>
    </w:p>
    <w:p w14:paraId="2AF0A41D" w14:textId="77777777" w:rsidR="00882002" w:rsidRDefault="00882002" w:rsidP="00882002">
      <w:pPr>
        <w:pStyle w:val="ListParagraph"/>
        <w:numPr>
          <w:ilvl w:val="1"/>
          <w:numId w:val="1"/>
        </w:numPr>
      </w:pPr>
      <w:r>
        <w:t>Comparison groups</w:t>
      </w:r>
    </w:p>
    <w:p w14:paraId="44057C87" w14:textId="194E018E" w:rsidR="00882002" w:rsidRDefault="00882002" w:rsidP="00882002">
      <w:pPr>
        <w:pStyle w:val="ListParagraph"/>
        <w:numPr>
          <w:ilvl w:val="1"/>
          <w:numId w:val="1"/>
        </w:numPr>
      </w:pPr>
      <w:r>
        <w:t>Confounders, predictors and effect modifier</w:t>
      </w:r>
    </w:p>
    <w:p w14:paraId="00F5B1BC" w14:textId="77777777" w:rsidR="006D5A65" w:rsidRDefault="006D5A65" w:rsidP="006D5A65">
      <w:pPr>
        <w:pStyle w:val="ListParagraph"/>
      </w:pPr>
    </w:p>
    <w:p w14:paraId="1D22F9BE" w14:textId="77777777" w:rsidR="006D5A65" w:rsidRDefault="006D5A65" w:rsidP="006D5A65">
      <w:pPr>
        <w:pStyle w:val="ListParagraph"/>
      </w:pPr>
    </w:p>
    <w:p w14:paraId="324EE4AB" w14:textId="54A084AF" w:rsidR="005A4011" w:rsidRDefault="006D5A65" w:rsidP="006D5A65">
      <w:pPr>
        <w:pStyle w:val="ListParagraph"/>
        <w:rPr>
          <w:i/>
          <w:iCs/>
          <w:highlight w:val="yellow"/>
        </w:rPr>
      </w:pPr>
      <w:r w:rsidRPr="006D5A65">
        <w:rPr>
          <w:i/>
          <w:iCs/>
          <w:highlight w:val="yellow"/>
        </w:rPr>
        <w:t>This table is an example and should be modified per analysis</w:t>
      </w:r>
      <w:r>
        <w:rPr>
          <w:i/>
          <w:iCs/>
          <w:highlight w:val="yellow"/>
        </w:rPr>
        <w:t xml:space="preserve"> to reflect variables considered in the proposed analysis</w:t>
      </w:r>
      <w:r w:rsidRPr="006D5A65">
        <w:rPr>
          <w:i/>
          <w:iCs/>
          <w:highlight w:val="yellow"/>
        </w:rPr>
        <w:t xml:space="preserve">. </w:t>
      </w:r>
      <w:r w:rsidR="005A4011">
        <w:rPr>
          <w:i/>
          <w:iCs/>
          <w:highlight w:val="yellow"/>
        </w:rPr>
        <w:t xml:space="preserve">Where possible, please use </w:t>
      </w:r>
      <w:r w:rsidR="00B059C2">
        <w:rPr>
          <w:i/>
          <w:iCs/>
          <w:highlight w:val="yellow"/>
        </w:rPr>
        <w:t xml:space="preserve">these </w:t>
      </w:r>
      <w:r w:rsidR="005A4011">
        <w:rPr>
          <w:i/>
          <w:iCs/>
          <w:highlight w:val="yellow"/>
        </w:rPr>
        <w:t>definitions or categorisations to be consistent with previous RESPOND work.</w:t>
      </w:r>
      <w:r w:rsidR="00B059C2">
        <w:rPr>
          <w:i/>
          <w:iCs/>
          <w:highlight w:val="yellow"/>
        </w:rPr>
        <w:t xml:space="preserve"> If alternative definitions are to be used, please justify.</w:t>
      </w:r>
    </w:p>
    <w:p w14:paraId="053EEC62" w14:textId="77777777" w:rsidR="005A4011" w:rsidRDefault="005A4011" w:rsidP="006D5A65">
      <w:pPr>
        <w:pStyle w:val="ListParagraph"/>
        <w:rPr>
          <w:i/>
          <w:iCs/>
          <w:highlight w:val="yellow"/>
        </w:rPr>
      </w:pPr>
    </w:p>
    <w:p w14:paraId="06346FBA" w14:textId="085983EF" w:rsidR="006D5A65" w:rsidRDefault="006D5A65" w:rsidP="006D5A65">
      <w:pPr>
        <w:pStyle w:val="ListParagraph"/>
        <w:rPr>
          <w:i/>
          <w:iCs/>
        </w:rPr>
      </w:pPr>
      <w:r w:rsidRPr="006D5A65">
        <w:rPr>
          <w:i/>
          <w:iCs/>
          <w:highlight w:val="yellow"/>
        </w:rPr>
        <w:t xml:space="preserve"> Please check that all relevant variables are included here, </w:t>
      </w:r>
      <w:r>
        <w:rPr>
          <w:i/>
          <w:iCs/>
          <w:highlight w:val="yellow"/>
        </w:rPr>
        <w:t xml:space="preserve">with </w:t>
      </w:r>
      <w:r w:rsidRPr="006D5A65">
        <w:rPr>
          <w:i/>
          <w:iCs/>
          <w:highlight w:val="yellow"/>
        </w:rPr>
        <w:t xml:space="preserve">relevant </w:t>
      </w:r>
      <w:r>
        <w:rPr>
          <w:i/>
          <w:iCs/>
          <w:highlight w:val="yellow"/>
        </w:rPr>
        <w:t>definitions included</w:t>
      </w:r>
      <w:r w:rsidR="00882D97">
        <w:rPr>
          <w:i/>
          <w:iCs/>
          <w:highlight w:val="yellow"/>
        </w:rPr>
        <w:t xml:space="preserve">.  Please reference the time point at which variables are defined (for example, at baseline), </w:t>
      </w:r>
      <w:r w:rsidRPr="006D5A65">
        <w:rPr>
          <w:i/>
          <w:iCs/>
          <w:highlight w:val="yellow"/>
        </w:rPr>
        <w:t>and whether the variable will be fitted a</w:t>
      </w:r>
      <w:r w:rsidR="00882D97">
        <w:rPr>
          <w:i/>
          <w:iCs/>
          <w:highlight w:val="yellow"/>
        </w:rPr>
        <w:t xml:space="preserve">s continuous, categorical, at </w:t>
      </w:r>
      <w:r w:rsidRPr="006D5A65">
        <w:rPr>
          <w:i/>
          <w:iCs/>
          <w:highlight w:val="yellow"/>
        </w:rPr>
        <w:t xml:space="preserve">baseline or as </w:t>
      </w:r>
      <w:proofErr w:type="gramStart"/>
      <w:r w:rsidRPr="006D5A65">
        <w:rPr>
          <w:i/>
          <w:iCs/>
          <w:highlight w:val="yellow"/>
        </w:rPr>
        <w:t>time-updated</w:t>
      </w:r>
      <w:proofErr w:type="gramEnd"/>
      <w:r w:rsidRPr="006D5A65">
        <w:rPr>
          <w:i/>
          <w:iCs/>
          <w:highlight w:val="yellow"/>
        </w:rPr>
        <w:t>.</w:t>
      </w:r>
      <w:r w:rsidR="008B6B6A">
        <w:rPr>
          <w:i/>
          <w:iCs/>
        </w:rPr>
        <w:t xml:space="preserve"> </w:t>
      </w:r>
      <w:r w:rsidR="008B6B6A" w:rsidRPr="004717CA">
        <w:rPr>
          <w:i/>
          <w:iCs/>
          <w:highlight w:val="yellow"/>
        </w:rPr>
        <w:t>For categorical variables, include details of categorisations; for continuous variables, include details of how the variable will be fitted and whether any transformations will be used.</w:t>
      </w:r>
    </w:p>
    <w:p w14:paraId="02A10613" w14:textId="7672C3F7" w:rsidR="00DF4309" w:rsidRDefault="00DF4309" w:rsidP="006D5A65">
      <w:pPr>
        <w:pStyle w:val="ListParagraph"/>
        <w:rPr>
          <w:i/>
          <w:iCs/>
        </w:rPr>
      </w:pPr>
    </w:p>
    <w:p w14:paraId="2BD4DC5C" w14:textId="2016891E" w:rsidR="00DF4309" w:rsidRDefault="00DF4309" w:rsidP="006D5A65">
      <w:pPr>
        <w:pStyle w:val="ListParagraph"/>
        <w:rPr>
          <w:i/>
          <w:iCs/>
        </w:rPr>
      </w:pPr>
    </w:p>
    <w:p w14:paraId="1B97199E" w14:textId="77777777" w:rsidR="00DF4309" w:rsidRDefault="00DF4309" w:rsidP="006D5A65">
      <w:pPr>
        <w:pStyle w:val="ListParagraph"/>
        <w:rPr>
          <w:i/>
          <w:iCs/>
        </w:rPr>
      </w:pPr>
    </w:p>
    <w:p w14:paraId="24D9D6C1" w14:textId="609E6C71" w:rsidR="006D5A65" w:rsidRDefault="006D5A65" w:rsidP="006D5A65">
      <w:pPr>
        <w:pStyle w:val="ListParagraph"/>
        <w:rPr>
          <w:i/>
          <w:iCs/>
        </w:rPr>
      </w:pPr>
    </w:p>
    <w:p w14:paraId="38B30C4F" w14:textId="300011C4" w:rsidR="00882002" w:rsidRPr="00882002" w:rsidRDefault="00882002" w:rsidP="006D5A65">
      <w:pPr>
        <w:pStyle w:val="ListParagraph"/>
      </w:pPr>
      <w:r w:rsidRPr="00882002">
        <w:t>Confounders, predictors and effect modifiers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2552"/>
        <w:gridCol w:w="4961"/>
      </w:tblGrid>
      <w:tr w:rsidR="006D5A65" w14:paraId="01515368" w14:textId="77777777" w:rsidTr="00882002">
        <w:tc>
          <w:tcPr>
            <w:tcW w:w="2405" w:type="dxa"/>
            <w:vAlign w:val="center"/>
          </w:tcPr>
          <w:p w14:paraId="24AEF569" w14:textId="77777777" w:rsidR="006D5A65" w:rsidRDefault="006D5A65" w:rsidP="00AD53EE">
            <w:pPr>
              <w:pStyle w:val="Tablecontent"/>
              <w:jc w:val="left"/>
            </w:pPr>
            <w:r>
              <w:t>Variable</w:t>
            </w:r>
          </w:p>
        </w:tc>
        <w:tc>
          <w:tcPr>
            <w:tcW w:w="2552" w:type="dxa"/>
            <w:vAlign w:val="center"/>
          </w:tcPr>
          <w:p w14:paraId="67097184" w14:textId="77777777" w:rsidR="006D5A65" w:rsidRDefault="006D5A65" w:rsidP="00AD53EE">
            <w:pPr>
              <w:pStyle w:val="Tablecontent"/>
              <w:jc w:val="left"/>
            </w:pPr>
            <w:r>
              <w:t>Categories</w:t>
            </w:r>
          </w:p>
        </w:tc>
        <w:tc>
          <w:tcPr>
            <w:tcW w:w="4961" w:type="dxa"/>
            <w:vAlign w:val="center"/>
          </w:tcPr>
          <w:p w14:paraId="7054D3E1" w14:textId="607F1438" w:rsidR="006D5A65" w:rsidRDefault="006D5A65" w:rsidP="00AD53EE">
            <w:pPr>
              <w:pStyle w:val="Tablecontent"/>
              <w:jc w:val="left"/>
            </w:pPr>
            <w:r>
              <w:t>Comments / definitions</w:t>
            </w:r>
          </w:p>
        </w:tc>
      </w:tr>
      <w:tr w:rsidR="006D5A65" w14:paraId="67D9C5FA" w14:textId="77777777" w:rsidTr="00882002">
        <w:tc>
          <w:tcPr>
            <w:tcW w:w="2405" w:type="dxa"/>
            <w:vAlign w:val="center"/>
          </w:tcPr>
          <w:p w14:paraId="27F96937" w14:textId="54107843" w:rsidR="006D5A65" w:rsidRDefault="006D5A65" w:rsidP="00AD53EE">
            <w:pPr>
              <w:pStyle w:val="Tablecontent"/>
              <w:jc w:val="left"/>
            </w:pPr>
            <w:r>
              <w:t>Calendar year</w:t>
            </w:r>
          </w:p>
        </w:tc>
        <w:tc>
          <w:tcPr>
            <w:tcW w:w="2552" w:type="dxa"/>
            <w:vAlign w:val="center"/>
          </w:tcPr>
          <w:p w14:paraId="264631CF" w14:textId="77777777" w:rsidR="006D5A65" w:rsidRDefault="006D5A65" w:rsidP="00AD53EE">
            <w:pPr>
              <w:pStyle w:val="Tablecontent"/>
              <w:jc w:val="left"/>
            </w:pPr>
          </w:p>
        </w:tc>
        <w:tc>
          <w:tcPr>
            <w:tcW w:w="4961" w:type="dxa"/>
            <w:vAlign w:val="center"/>
          </w:tcPr>
          <w:p w14:paraId="6DF19479" w14:textId="77777777" w:rsidR="006D5A65" w:rsidRDefault="006D5A65" w:rsidP="00AD53EE">
            <w:pPr>
              <w:pStyle w:val="Tablecontent"/>
              <w:jc w:val="left"/>
            </w:pPr>
          </w:p>
        </w:tc>
      </w:tr>
      <w:tr w:rsidR="006D5A65" w14:paraId="69408849" w14:textId="77777777" w:rsidTr="00882002">
        <w:tc>
          <w:tcPr>
            <w:tcW w:w="2405" w:type="dxa"/>
            <w:vAlign w:val="center"/>
          </w:tcPr>
          <w:p w14:paraId="288CEC27" w14:textId="77777777" w:rsidR="006D5A65" w:rsidRDefault="006D5A65" w:rsidP="00AD53EE">
            <w:pPr>
              <w:pStyle w:val="Tablecontent"/>
              <w:jc w:val="left"/>
            </w:pPr>
            <w:r>
              <w:t>Age</w:t>
            </w:r>
          </w:p>
        </w:tc>
        <w:tc>
          <w:tcPr>
            <w:tcW w:w="2552" w:type="dxa"/>
            <w:vAlign w:val="center"/>
          </w:tcPr>
          <w:p w14:paraId="414C4FF6" w14:textId="77777777" w:rsidR="006D5A65" w:rsidRDefault="006D5A65" w:rsidP="00AD53EE">
            <w:pPr>
              <w:pStyle w:val="Tablecontent"/>
              <w:jc w:val="left"/>
            </w:pPr>
          </w:p>
        </w:tc>
        <w:tc>
          <w:tcPr>
            <w:tcW w:w="4961" w:type="dxa"/>
            <w:vAlign w:val="center"/>
          </w:tcPr>
          <w:p w14:paraId="27A46843" w14:textId="69CEF3FA" w:rsidR="006D5A65" w:rsidRDefault="00B059C2" w:rsidP="00AD53EE">
            <w:pPr>
              <w:pStyle w:val="Tablecontent"/>
              <w:jc w:val="left"/>
            </w:pPr>
            <w:r>
              <w:t>If adjusting as a covariate use ln(age)</w:t>
            </w:r>
          </w:p>
        </w:tc>
      </w:tr>
      <w:tr w:rsidR="006D5A65" w14:paraId="193A283F" w14:textId="77777777" w:rsidTr="00882002">
        <w:tc>
          <w:tcPr>
            <w:tcW w:w="2405" w:type="dxa"/>
            <w:vAlign w:val="center"/>
          </w:tcPr>
          <w:p w14:paraId="6BB95054" w14:textId="09E70DA4" w:rsidR="006D5A65" w:rsidRDefault="00D66317" w:rsidP="00AD53EE">
            <w:pPr>
              <w:pStyle w:val="Tablecontent"/>
              <w:jc w:val="left"/>
            </w:pPr>
            <w:r>
              <w:t>Gender*</w:t>
            </w:r>
          </w:p>
        </w:tc>
        <w:tc>
          <w:tcPr>
            <w:tcW w:w="2552" w:type="dxa"/>
            <w:vAlign w:val="center"/>
          </w:tcPr>
          <w:p w14:paraId="3F4B915D" w14:textId="77777777" w:rsidR="006D5A65" w:rsidRDefault="006D5A65" w:rsidP="00AD53EE">
            <w:pPr>
              <w:pStyle w:val="Tablecontent"/>
              <w:jc w:val="left"/>
            </w:pPr>
            <w:r>
              <w:t>Male; female</w:t>
            </w:r>
          </w:p>
        </w:tc>
        <w:tc>
          <w:tcPr>
            <w:tcW w:w="4961" w:type="dxa"/>
            <w:vAlign w:val="center"/>
          </w:tcPr>
          <w:p w14:paraId="51147786" w14:textId="7B4446F3" w:rsidR="006D5A65" w:rsidRDefault="00807A4D" w:rsidP="00AD53EE">
            <w:pPr>
              <w:pStyle w:val="Tablecontent"/>
              <w:jc w:val="left"/>
            </w:pPr>
            <w:r>
              <w:t xml:space="preserve">Reflecting gender as reported by cohorts without reference to </w:t>
            </w:r>
            <w:proofErr w:type="spellStart"/>
            <w:r>
              <w:t>self identified</w:t>
            </w:r>
            <w:proofErr w:type="spellEnd"/>
            <w:r>
              <w:t xml:space="preserve"> gender.</w:t>
            </w:r>
          </w:p>
        </w:tc>
      </w:tr>
      <w:tr w:rsidR="006D5A65" w14:paraId="19F66A02" w14:textId="77777777" w:rsidTr="00882002">
        <w:tc>
          <w:tcPr>
            <w:tcW w:w="2405" w:type="dxa"/>
            <w:vAlign w:val="center"/>
          </w:tcPr>
          <w:p w14:paraId="6726C72F" w14:textId="77777777" w:rsidR="006D5A65" w:rsidRDefault="006D5A65" w:rsidP="00AD53EE">
            <w:pPr>
              <w:pStyle w:val="Tablecontent"/>
              <w:jc w:val="left"/>
            </w:pPr>
            <w:r w:rsidRPr="001F546A">
              <w:rPr>
                <w:rFonts w:cstheme="minorHAnsi"/>
              </w:rPr>
              <w:t>HIV risk group</w:t>
            </w:r>
          </w:p>
        </w:tc>
        <w:tc>
          <w:tcPr>
            <w:tcW w:w="2552" w:type="dxa"/>
            <w:vAlign w:val="center"/>
          </w:tcPr>
          <w:p w14:paraId="55B44F28" w14:textId="77777777" w:rsidR="006D5A65" w:rsidRDefault="006D5A65" w:rsidP="00AD53EE">
            <w:pPr>
              <w:pStyle w:val="Tablecontent"/>
              <w:jc w:val="left"/>
            </w:pPr>
            <w:r>
              <w:rPr>
                <w:rFonts w:cstheme="minorHAnsi"/>
              </w:rPr>
              <w:t>MSM; IDU; heterosexual sex; other; unknown or missing</w:t>
            </w:r>
          </w:p>
        </w:tc>
        <w:tc>
          <w:tcPr>
            <w:tcW w:w="4961" w:type="dxa"/>
            <w:vAlign w:val="center"/>
          </w:tcPr>
          <w:p w14:paraId="014D9FC1" w14:textId="77777777" w:rsidR="006D5A65" w:rsidRDefault="006D5A65" w:rsidP="00AD53EE">
            <w:pPr>
              <w:pStyle w:val="Tablecontent"/>
              <w:jc w:val="left"/>
              <w:rPr>
                <w:rFonts w:cstheme="minorHAnsi"/>
              </w:rPr>
            </w:pPr>
          </w:p>
        </w:tc>
      </w:tr>
      <w:tr w:rsidR="006D5A65" w14:paraId="69F154C2" w14:textId="77777777" w:rsidTr="00882002">
        <w:tc>
          <w:tcPr>
            <w:tcW w:w="2405" w:type="dxa"/>
            <w:vAlign w:val="center"/>
          </w:tcPr>
          <w:p w14:paraId="1D4D9FBA" w14:textId="77777777" w:rsidR="006D5A65" w:rsidRPr="00AB063B" w:rsidRDefault="006D5A65" w:rsidP="00AD53EE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1F546A">
              <w:rPr>
                <w:rFonts w:cstheme="minorHAnsi"/>
              </w:rPr>
              <w:t>thnicity</w:t>
            </w:r>
          </w:p>
        </w:tc>
        <w:tc>
          <w:tcPr>
            <w:tcW w:w="2552" w:type="dxa"/>
            <w:vAlign w:val="center"/>
          </w:tcPr>
          <w:p w14:paraId="45F56F1C" w14:textId="77777777" w:rsidR="006D5A65" w:rsidRDefault="006D5A65" w:rsidP="00AD53EE">
            <w:pPr>
              <w:pStyle w:val="Tablecontent"/>
              <w:jc w:val="left"/>
            </w:pPr>
            <w:r>
              <w:t>White; Black; other; unknown or missing</w:t>
            </w:r>
          </w:p>
        </w:tc>
        <w:tc>
          <w:tcPr>
            <w:tcW w:w="4961" w:type="dxa"/>
            <w:vAlign w:val="center"/>
          </w:tcPr>
          <w:p w14:paraId="73B460C5" w14:textId="77777777" w:rsidR="006D5A65" w:rsidRDefault="006D5A65" w:rsidP="00AD53EE">
            <w:pPr>
              <w:pStyle w:val="Tablecontent"/>
              <w:jc w:val="left"/>
            </w:pPr>
            <w:r>
              <w:t>Some cohorts were prohibited from reporting ethnicity</w:t>
            </w:r>
          </w:p>
        </w:tc>
      </w:tr>
      <w:tr w:rsidR="00D66317" w14:paraId="3064ADDA" w14:textId="77777777" w:rsidTr="00882002">
        <w:tc>
          <w:tcPr>
            <w:tcW w:w="2405" w:type="dxa"/>
            <w:vAlign w:val="center"/>
          </w:tcPr>
          <w:p w14:paraId="6809A5FA" w14:textId="3514BBED" w:rsidR="00D66317" w:rsidRDefault="00D66317" w:rsidP="00AD53EE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Time since HIV diagnosis</w:t>
            </w:r>
          </w:p>
        </w:tc>
        <w:tc>
          <w:tcPr>
            <w:tcW w:w="2552" w:type="dxa"/>
            <w:vAlign w:val="center"/>
          </w:tcPr>
          <w:p w14:paraId="553166AD" w14:textId="0F2A4122" w:rsidR="00D66317" w:rsidRDefault="00D66317" w:rsidP="00AD53EE">
            <w:pPr>
              <w:pStyle w:val="Tablecontent"/>
              <w:jc w:val="left"/>
            </w:pPr>
            <w:r>
              <w:t>Categorical or continuous</w:t>
            </w:r>
          </w:p>
        </w:tc>
        <w:tc>
          <w:tcPr>
            <w:tcW w:w="4961" w:type="dxa"/>
            <w:vAlign w:val="center"/>
          </w:tcPr>
          <w:p w14:paraId="633CD92E" w14:textId="77777777" w:rsidR="00D66317" w:rsidRDefault="00D66317" w:rsidP="00AD53EE">
            <w:pPr>
              <w:pStyle w:val="Tablecontent"/>
              <w:jc w:val="left"/>
            </w:pPr>
          </w:p>
        </w:tc>
      </w:tr>
      <w:tr w:rsidR="006D5A65" w14:paraId="70DBAEC4" w14:textId="77777777" w:rsidTr="00882002">
        <w:tc>
          <w:tcPr>
            <w:tcW w:w="2405" w:type="dxa"/>
            <w:vAlign w:val="center"/>
          </w:tcPr>
          <w:p w14:paraId="6A4D8598" w14:textId="16E28D7D" w:rsidR="006D5A65" w:rsidRPr="001F546A" w:rsidRDefault="006D5A65" w:rsidP="00AD53EE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Body mass index</w:t>
            </w:r>
          </w:p>
        </w:tc>
        <w:tc>
          <w:tcPr>
            <w:tcW w:w="2552" w:type="dxa"/>
            <w:vAlign w:val="center"/>
          </w:tcPr>
          <w:p w14:paraId="3B0B005F" w14:textId="2A06DDEF" w:rsidR="006D5A65" w:rsidRDefault="006D5A65" w:rsidP="00AD53EE">
            <w:pPr>
              <w:pStyle w:val="Tablecontent"/>
              <w:jc w:val="left"/>
            </w:pPr>
            <w:r w:rsidRPr="00CF35C1">
              <w:t>&lt;18.5</w:t>
            </w:r>
            <w:r>
              <w:t xml:space="preserve"> kg/m</w:t>
            </w:r>
            <w:r w:rsidRPr="00B978C4">
              <w:rPr>
                <w:vertAlign w:val="superscript"/>
              </w:rPr>
              <w:t>2</w:t>
            </w:r>
            <w:r>
              <w:t xml:space="preserve">; </w:t>
            </w:r>
            <w:r w:rsidRPr="00CF35C1">
              <w:t>18.5-&lt;25</w:t>
            </w:r>
            <w:r>
              <w:t xml:space="preserve"> kg/m</w:t>
            </w:r>
            <w:r w:rsidRPr="00B978C4">
              <w:rPr>
                <w:vertAlign w:val="superscript"/>
              </w:rPr>
              <w:t>2</w:t>
            </w:r>
            <w:r>
              <w:t xml:space="preserve">; </w:t>
            </w:r>
            <w:r w:rsidRPr="00CF35C1">
              <w:t>2</w:t>
            </w:r>
            <w:r w:rsidR="00807A4D">
              <w:t>5-30</w:t>
            </w:r>
            <w:r>
              <w:t xml:space="preserve"> kg/m</w:t>
            </w:r>
            <w:r w:rsidRPr="00B978C4">
              <w:rPr>
                <w:vertAlign w:val="superscript"/>
              </w:rPr>
              <w:t>2</w:t>
            </w:r>
            <w:r>
              <w:t>;</w:t>
            </w:r>
            <w:r w:rsidR="00807A4D">
              <w:t xml:space="preserve"> &gt;30 kg/</w:t>
            </w:r>
            <w:r w:rsidR="00807A4D" w:rsidRPr="00807A4D">
              <w:t>m</w:t>
            </w:r>
            <w:r w:rsidR="00807A4D" w:rsidRPr="00807A4D">
              <w:rPr>
                <w:vertAlign w:val="superscript"/>
              </w:rPr>
              <w:t>2</w:t>
            </w:r>
            <w:r w:rsidR="00807A4D">
              <w:t xml:space="preserve">; </w:t>
            </w:r>
            <w:r w:rsidRPr="00807A4D">
              <w:t>missing</w:t>
            </w:r>
          </w:p>
        </w:tc>
        <w:tc>
          <w:tcPr>
            <w:tcW w:w="4961" w:type="dxa"/>
            <w:vAlign w:val="center"/>
          </w:tcPr>
          <w:p w14:paraId="301A026C" w14:textId="77777777" w:rsidR="006D5A65" w:rsidRDefault="006D5A65" w:rsidP="00AD53EE">
            <w:pPr>
              <w:pStyle w:val="Tablecontent"/>
              <w:jc w:val="left"/>
            </w:pPr>
          </w:p>
        </w:tc>
      </w:tr>
      <w:tr w:rsidR="006D5A65" w14:paraId="4D1DA31A" w14:textId="77777777" w:rsidTr="00882002">
        <w:tc>
          <w:tcPr>
            <w:tcW w:w="2405" w:type="dxa"/>
            <w:vAlign w:val="center"/>
          </w:tcPr>
          <w:p w14:paraId="36CC849F" w14:textId="0C5AC483" w:rsidR="006D5A65" w:rsidRPr="001F546A" w:rsidRDefault="006D5A65" w:rsidP="00AD53EE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1F546A">
              <w:rPr>
                <w:rFonts w:cstheme="minorHAnsi"/>
              </w:rPr>
              <w:t>moking status</w:t>
            </w:r>
          </w:p>
        </w:tc>
        <w:tc>
          <w:tcPr>
            <w:tcW w:w="2552" w:type="dxa"/>
            <w:vAlign w:val="center"/>
          </w:tcPr>
          <w:p w14:paraId="5F08A57F" w14:textId="77777777" w:rsidR="006D5A65" w:rsidRDefault="006D5A65" w:rsidP="00AD53EE">
            <w:pPr>
              <w:pStyle w:val="Tablecontent"/>
              <w:jc w:val="left"/>
            </w:pPr>
            <w:r>
              <w:t>Past; current; never; unknown or missing</w:t>
            </w:r>
          </w:p>
        </w:tc>
        <w:tc>
          <w:tcPr>
            <w:tcW w:w="4961" w:type="dxa"/>
            <w:vAlign w:val="center"/>
          </w:tcPr>
          <w:p w14:paraId="69C1DBE4" w14:textId="77777777" w:rsidR="006D5A65" w:rsidRDefault="006D5A65" w:rsidP="00AD53EE">
            <w:pPr>
              <w:pStyle w:val="Tablecontent"/>
              <w:jc w:val="left"/>
            </w:pPr>
          </w:p>
        </w:tc>
      </w:tr>
      <w:tr w:rsidR="006D5A65" w14:paraId="2430F878" w14:textId="77777777" w:rsidTr="00882002">
        <w:tc>
          <w:tcPr>
            <w:tcW w:w="2405" w:type="dxa"/>
            <w:vAlign w:val="center"/>
          </w:tcPr>
          <w:p w14:paraId="0506FE28" w14:textId="10111C65" w:rsidR="006D5A65" w:rsidRPr="00AB063B" w:rsidRDefault="006D5A65" w:rsidP="00AD53EE">
            <w:pPr>
              <w:pStyle w:val="Tablecontent"/>
              <w:jc w:val="left"/>
              <w:rPr>
                <w:rFonts w:cstheme="minorHAnsi"/>
              </w:rPr>
            </w:pPr>
            <w:r w:rsidRPr="001F546A">
              <w:rPr>
                <w:rFonts w:cstheme="minorHAnsi"/>
              </w:rPr>
              <w:t xml:space="preserve">CD4 cell nadir </w:t>
            </w:r>
          </w:p>
        </w:tc>
        <w:tc>
          <w:tcPr>
            <w:tcW w:w="2552" w:type="dxa"/>
            <w:vAlign w:val="center"/>
          </w:tcPr>
          <w:p w14:paraId="7850F29C" w14:textId="6D270FC2" w:rsidR="006D5A65" w:rsidRDefault="006D5A65" w:rsidP="00AD53EE">
            <w:pPr>
              <w:pStyle w:val="Tablecontent"/>
              <w:jc w:val="left"/>
            </w:pPr>
            <w:r>
              <w:t xml:space="preserve">Continuous </w:t>
            </w:r>
          </w:p>
        </w:tc>
        <w:tc>
          <w:tcPr>
            <w:tcW w:w="4961" w:type="dxa"/>
            <w:vAlign w:val="center"/>
          </w:tcPr>
          <w:p w14:paraId="54783FB5" w14:textId="77777777" w:rsidR="006D5A65" w:rsidRDefault="006D5A65" w:rsidP="00AD53EE">
            <w:pPr>
              <w:pStyle w:val="Tablecontent"/>
              <w:jc w:val="left"/>
            </w:pPr>
            <w:r>
              <w:t>T</w:t>
            </w:r>
            <w:r w:rsidRPr="001F546A">
              <w:t xml:space="preserve">aken as </w:t>
            </w:r>
            <w:r>
              <w:t>the lowest</w:t>
            </w:r>
            <w:r w:rsidRPr="001F546A">
              <w:t xml:space="preserve"> CD4 </w:t>
            </w:r>
            <w:r>
              <w:t xml:space="preserve">cell </w:t>
            </w:r>
            <w:r w:rsidRPr="001F546A">
              <w:t xml:space="preserve">count </w:t>
            </w:r>
            <w:r>
              <w:t>prior to baseline</w:t>
            </w:r>
            <w:r w:rsidRPr="001F546A">
              <w:t xml:space="preserve">. If no CD4 </w:t>
            </w:r>
            <w:r>
              <w:t>cell count</w:t>
            </w:r>
            <w:r w:rsidRPr="001F546A">
              <w:t xml:space="preserve"> was measured, the first measurement within </w:t>
            </w:r>
            <w:r>
              <w:t>12 weeks after baseline</w:t>
            </w:r>
            <w:r w:rsidRPr="001F546A">
              <w:t xml:space="preserve"> was used</w:t>
            </w:r>
          </w:p>
        </w:tc>
      </w:tr>
      <w:tr w:rsidR="006D5A65" w14:paraId="15B28410" w14:textId="77777777" w:rsidTr="00882002">
        <w:tc>
          <w:tcPr>
            <w:tcW w:w="2405" w:type="dxa"/>
            <w:vAlign w:val="center"/>
          </w:tcPr>
          <w:p w14:paraId="05B8D4C9" w14:textId="7B7B1280" w:rsidR="006D5A65" w:rsidRPr="00AB063B" w:rsidRDefault="006D5A65" w:rsidP="00AD53EE">
            <w:pPr>
              <w:pStyle w:val="Tablecontent"/>
              <w:jc w:val="left"/>
              <w:rPr>
                <w:rFonts w:cstheme="minorHAnsi"/>
              </w:rPr>
            </w:pPr>
            <w:r w:rsidRPr="001F546A">
              <w:rPr>
                <w:rFonts w:cstheme="minorHAnsi"/>
              </w:rPr>
              <w:t xml:space="preserve">CD4 cell count </w:t>
            </w:r>
          </w:p>
        </w:tc>
        <w:tc>
          <w:tcPr>
            <w:tcW w:w="2552" w:type="dxa"/>
            <w:vAlign w:val="center"/>
          </w:tcPr>
          <w:p w14:paraId="1EC7D78C" w14:textId="0E947E90" w:rsidR="006D5A65" w:rsidRDefault="006D5A65" w:rsidP="00AD53EE">
            <w:pPr>
              <w:pStyle w:val="Tablecontent"/>
              <w:jc w:val="left"/>
            </w:pPr>
            <w:r>
              <w:t xml:space="preserve">Continuous </w:t>
            </w:r>
          </w:p>
        </w:tc>
        <w:tc>
          <w:tcPr>
            <w:tcW w:w="4961" w:type="dxa"/>
            <w:vAlign w:val="center"/>
          </w:tcPr>
          <w:p w14:paraId="73A4D5FF" w14:textId="71C8222B" w:rsidR="006D5A65" w:rsidRDefault="006D5A65" w:rsidP="00AD53EE">
            <w:pPr>
              <w:pStyle w:val="Tablecontent"/>
              <w:jc w:val="left"/>
            </w:pPr>
            <w:r>
              <w:t>T</w:t>
            </w:r>
            <w:r w:rsidRPr="001F546A">
              <w:t>aken as the most recent CD4</w:t>
            </w:r>
            <w:r>
              <w:t xml:space="preserve"> cell</w:t>
            </w:r>
            <w:r w:rsidRPr="001F546A">
              <w:t xml:space="preserve"> count </w:t>
            </w:r>
            <w:r>
              <w:t>within 12 months prior to baseline</w:t>
            </w:r>
            <w:r w:rsidRPr="001F546A">
              <w:t xml:space="preserve">. If no CD4 </w:t>
            </w:r>
            <w:r>
              <w:t>cell count</w:t>
            </w:r>
            <w:r w:rsidRPr="001F546A">
              <w:t xml:space="preserve"> was measured, the first measurement within </w:t>
            </w:r>
            <w:r>
              <w:t>12 weeks after baseline</w:t>
            </w:r>
            <w:r w:rsidRPr="001F546A">
              <w:t xml:space="preserve"> was used</w:t>
            </w:r>
          </w:p>
        </w:tc>
      </w:tr>
      <w:tr w:rsidR="006D5A65" w14:paraId="6E0DBCD4" w14:textId="77777777" w:rsidTr="00882002">
        <w:tc>
          <w:tcPr>
            <w:tcW w:w="2405" w:type="dxa"/>
            <w:vAlign w:val="center"/>
          </w:tcPr>
          <w:p w14:paraId="7C8106FE" w14:textId="5A15D6DA" w:rsidR="006D5A65" w:rsidRPr="00AB063B" w:rsidRDefault="006D5A65" w:rsidP="00AD53EE">
            <w:pPr>
              <w:pStyle w:val="Tablecontent"/>
              <w:jc w:val="left"/>
              <w:rPr>
                <w:rFonts w:cstheme="minorHAnsi"/>
              </w:rPr>
            </w:pPr>
            <w:r>
              <w:t xml:space="preserve">Viral suppression status </w:t>
            </w:r>
          </w:p>
        </w:tc>
        <w:tc>
          <w:tcPr>
            <w:tcW w:w="2552" w:type="dxa"/>
            <w:vAlign w:val="center"/>
          </w:tcPr>
          <w:p w14:paraId="7CF62C6A" w14:textId="25D3ACE1" w:rsidR="006D5A65" w:rsidRDefault="00A35BEB" w:rsidP="00AD53EE">
            <w:pPr>
              <w:pStyle w:val="Tablecontent"/>
              <w:jc w:val="left"/>
            </w:pPr>
            <w:r>
              <w:t>&lt;200</w:t>
            </w:r>
            <w:r w:rsidR="00DF4309">
              <w:t>;</w:t>
            </w:r>
            <w:r>
              <w:t xml:space="preserve"> </w:t>
            </w:r>
            <w:r w:rsidRPr="00A35BEB">
              <w:rPr>
                <w:u w:val="single"/>
              </w:rPr>
              <w:t>&gt;</w:t>
            </w:r>
            <w:r>
              <w:t>200</w:t>
            </w:r>
          </w:p>
        </w:tc>
        <w:tc>
          <w:tcPr>
            <w:tcW w:w="4961" w:type="dxa"/>
            <w:vAlign w:val="center"/>
          </w:tcPr>
          <w:p w14:paraId="0B12DF50" w14:textId="77E57EC2" w:rsidR="006D5A65" w:rsidRDefault="00DF4309" w:rsidP="00AD53EE">
            <w:pPr>
              <w:pStyle w:val="Tablecontent"/>
              <w:jc w:val="left"/>
            </w:pPr>
            <w:r>
              <w:t>T</w:t>
            </w:r>
            <w:r w:rsidR="006D5A65" w:rsidRPr="001F546A">
              <w:t xml:space="preserve">aken as the most recent </w:t>
            </w:r>
            <w:r w:rsidR="006D5A65">
              <w:t>VL within 12 months</w:t>
            </w:r>
            <w:r w:rsidR="006D5A65" w:rsidRPr="001F546A">
              <w:t xml:space="preserve"> before</w:t>
            </w:r>
            <w:r w:rsidR="006D5A65">
              <w:t xml:space="preserve"> baseline</w:t>
            </w:r>
            <w:r w:rsidR="006D5A65" w:rsidRPr="001F546A">
              <w:t xml:space="preserve">. If no </w:t>
            </w:r>
            <w:r w:rsidR="006D5A65">
              <w:t>VL</w:t>
            </w:r>
            <w:r w:rsidR="006D5A65" w:rsidRPr="001F546A">
              <w:t xml:space="preserve"> was measured</w:t>
            </w:r>
            <w:r w:rsidR="006D5A65">
              <w:t xml:space="preserve"> prior to baseline</w:t>
            </w:r>
            <w:r w:rsidR="006D5A65" w:rsidRPr="001F546A">
              <w:t xml:space="preserve">, the first measurement within </w:t>
            </w:r>
            <w:r w:rsidR="006D5A65">
              <w:t xml:space="preserve">12 weeks </w:t>
            </w:r>
            <w:r w:rsidR="006D5A65" w:rsidRPr="001F546A">
              <w:t xml:space="preserve">after </w:t>
            </w:r>
            <w:r w:rsidR="006D5A65">
              <w:t>baseline</w:t>
            </w:r>
            <w:r w:rsidR="006D5A65" w:rsidRPr="001F546A">
              <w:t xml:space="preserve"> </w:t>
            </w:r>
            <w:r>
              <w:t>should be</w:t>
            </w:r>
            <w:r w:rsidRPr="001F546A">
              <w:t xml:space="preserve"> </w:t>
            </w:r>
            <w:r w:rsidR="006D5A65" w:rsidRPr="001F546A">
              <w:t>used</w:t>
            </w:r>
          </w:p>
        </w:tc>
      </w:tr>
      <w:tr w:rsidR="00A35BEB" w14:paraId="008C7467" w14:textId="77777777" w:rsidTr="00882002">
        <w:tc>
          <w:tcPr>
            <w:tcW w:w="2405" w:type="dxa"/>
            <w:vAlign w:val="center"/>
          </w:tcPr>
          <w:p w14:paraId="2C70FFDD" w14:textId="10AA2E8F" w:rsidR="00A35BEB" w:rsidRPr="00A35BEB" w:rsidRDefault="00A35BEB" w:rsidP="00A35BEB">
            <w:pPr>
              <w:pStyle w:val="Tablecontent"/>
              <w:jc w:val="left"/>
              <w:rPr>
                <w:b/>
                <w:bCs/>
              </w:rPr>
            </w:pPr>
            <w:r>
              <w:t xml:space="preserve">Prior ART-experience and Viral suppression status </w:t>
            </w:r>
          </w:p>
        </w:tc>
        <w:tc>
          <w:tcPr>
            <w:tcW w:w="2552" w:type="dxa"/>
            <w:vAlign w:val="center"/>
          </w:tcPr>
          <w:p w14:paraId="06148B18" w14:textId="6BC8CF08" w:rsidR="00A35BEB" w:rsidRDefault="00A35BEB" w:rsidP="00A35BEB">
            <w:pPr>
              <w:pStyle w:val="Tablecontent"/>
              <w:jc w:val="left"/>
            </w:pPr>
            <w:r>
              <w:t xml:space="preserve">ART-naïve; ART-experienced with VL &lt;200 copies/mL; ART-experienced with VL </w:t>
            </w:r>
            <w:r w:rsidRPr="001F546A">
              <w:rPr>
                <w:rFonts w:cstheme="minorHAnsi"/>
              </w:rPr>
              <w:t>≥</w:t>
            </w:r>
            <w:r>
              <w:rPr>
                <w:rFonts w:cstheme="minorHAnsi"/>
              </w:rPr>
              <w:t>2</w:t>
            </w:r>
            <w:r w:rsidRPr="001F546A">
              <w:rPr>
                <w:rFonts w:cstheme="minorHAnsi"/>
              </w:rPr>
              <w:t>00 copies/mL</w:t>
            </w:r>
          </w:p>
        </w:tc>
        <w:tc>
          <w:tcPr>
            <w:tcW w:w="4961" w:type="dxa"/>
            <w:vAlign w:val="center"/>
          </w:tcPr>
          <w:p w14:paraId="628F64A9" w14:textId="77777777" w:rsidR="004717CA" w:rsidRDefault="002A0405" w:rsidP="00A35BEB">
            <w:pPr>
              <w:pStyle w:val="Tablecontent"/>
              <w:jc w:val="left"/>
            </w:pPr>
            <w:r>
              <w:t xml:space="preserve">ART experience should be defined based on whether first ART start date is before or after baseline. </w:t>
            </w:r>
          </w:p>
          <w:p w14:paraId="018104A4" w14:textId="77777777" w:rsidR="004717CA" w:rsidRDefault="004717CA" w:rsidP="00A35BEB">
            <w:pPr>
              <w:pStyle w:val="Tablecontent"/>
              <w:jc w:val="left"/>
            </w:pPr>
          </w:p>
          <w:p w14:paraId="7E35B4B0" w14:textId="62E52E05" w:rsidR="002A0405" w:rsidRDefault="004717CA" w:rsidP="00A35BEB">
            <w:pPr>
              <w:pStyle w:val="Tablecontent"/>
              <w:jc w:val="left"/>
            </w:pPr>
            <w:r>
              <w:t xml:space="preserve">Individuals who are ART naïve at baseline with a </w:t>
            </w:r>
            <w:r w:rsidR="002A0405">
              <w:t>VL &lt; 200 copies/mL at first ART start date should be excluded, as it likely indicates missing ART data.</w:t>
            </w:r>
          </w:p>
          <w:p w14:paraId="58920323" w14:textId="77777777" w:rsidR="002A0405" w:rsidRDefault="002A0405" w:rsidP="00A35BEB">
            <w:pPr>
              <w:pStyle w:val="Tablecontent"/>
              <w:jc w:val="left"/>
            </w:pPr>
          </w:p>
          <w:p w14:paraId="5D28C7F9" w14:textId="452FF00D" w:rsidR="00A35BEB" w:rsidRDefault="00A35BEB" w:rsidP="00A35BEB">
            <w:pPr>
              <w:pStyle w:val="Tablecontent"/>
              <w:jc w:val="left"/>
            </w:pPr>
            <w:r>
              <w:t>VL t</w:t>
            </w:r>
            <w:r w:rsidRPr="001F546A">
              <w:t xml:space="preserve">aken as the most recent </w:t>
            </w:r>
            <w:r>
              <w:t>VL within 12 months</w:t>
            </w:r>
            <w:r w:rsidRPr="001F546A">
              <w:t xml:space="preserve"> before</w:t>
            </w:r>
            <w:r>
              <w:t xml:space="preserve"> baseline</w:t>
            </w:r>
            <w:r w:rsidRPr="001F546A">
              <w:t xml:space="preserve">. If no </w:t>
            </w:r>
            <w:r>
              <w:t>VL</w:t>
            </w:r>
            <w:r w:rsidRPr="001F546A">
              <w:t xml:space="preserve"> was measured</w:t>
            </w:r>
            <w:r>
              <w:t xml:space="preserve"> prior to baseline</w:t>
            </w:r>
            <w:r w:rsidRPr="001F546A">
              <w:t xml:space="preserve">, the first measurement within </w:t>
            </w:r>
            <w:r>
              <w:t xml:space="preserve">12 weeks </w:t>
            </w:r>
            <w:r w:rsidRPr="001F546A">
              <w:t xml:space="preserve">after </w:t>
            </w:r>
            <w:r>
              <w:t>baseline</w:t>
            </w:r>
            <w:r w:rsidRPr="001F546A">
              <w:t xml:space="preserve"> </w:t>
            </w:r>
            <w:r w:rsidR="00DF4309">
              <w:t>should be</w:t>
            </w:r>
            <w:r w:rsidR="00DF4309" w:rsidRPr="001F546A">
              <w:t xml:space="preserve"> </w:t>
            </w:r>
            <w:r w:rsidRPr="001F546A">
              <w:t>used</w:t>
            </w:r>
          </w:p>
        </w:tc>
      </w:tr>
      <w:tr w:rsidR="00A35BEB" w14:paraId="35758E0D" w14:textId="77777777" w:rsidTr="00882002">
        <w:tc>
          <w:tcPr>
            <w:tcW w:w="2405" w:type="dxa"/>
            <w:vAlign w:val="center"/>
          </w:tcPr>
          <w:p w14:paraId="2011F6C5" w14:textId="0637851C" w:rsidR="00A35BEB" w:rsidRPr="00AB063B" w:rsidRDefault="00A35BEB" w:rsidP="00A35BEB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Viral </w:t>
            </w:r>
            <w:r w:rsidRPr="001F546A">
              <w:rPr>
                <w:rFonts w:cstheme="minorHAnsi"/>
              </w:rPr>
              <w:t>hepatitis C</w:t>
            </w:r>
          </w:p>
        </w:tc>
        <w:tc>
          <w:tcPr>
            <w:tcW w:w="2552" w:type="dxa"/>
            <w:vAlign w:val="center"/>
          </w:tcPr>
          <w:p w14:paraId="6C34B0D1" w14:textId="77777777" w:rsidR="00A35BEB" w:rsidRDefault="00A35BEB" w:rsidP="00A35BEB">
            <w:pPr>
              <w:pStyle w:val="Tablecontent"/>
              <w:jc w:val="left"/>
            </w:pPr>
            <w:r>
              <w:t>No; yes; unknown</w:t>
            </w:r>
          </w:p>
        </w:tc>
        <w:tc>
          <w:tcPr>
            <w:tcW w:w="4961" w:type="dxa"/>
            <w:vAlign w:val="center"/>
          </w:tcPr>
          <w:p w14:paraId="3C70262E" w14:textId="77777777" w:rsidR="00A35BEB" w:rsidRDefault="00A35BEB" w:rsidP="00A35BEB">
            <w:pPr>
              <w:pStyle w:val="Tablecontent"/>
              <w:jc w:val="left"/>
            </w:pPr>
            <w:r>
              <w:t>Defined by</w:t>
            </w:r>
            <w:r w:rsidRPr="001F546A">
              <w:t xml:space="preserve"> use of anti-HCV medication, a positive </w:t>
            </w:r>
            <w:r>
              <w:t xml:space="preserve">HCV </w:t>
            </w:r>
            <w:r w:rsidRPr="001F546A">
              <w:t xml:space="preserve">antibody test, a positive HCV RNA qualitative test, HCV RNA &gt;615 IU/mL, </w:t>
            </w:r>
            <w:r>
              <w:t>and/</w:t>
            </w:r>
            <w:r w:rsidRPr="001F546A">
              <w:t xml:space="preserve">or </w:t>
            </w:r>
            <w:r>
              <w:t xml:space="preserve">a </w:t>
            </w:r>
            <w:r w:rsidRPr="001F546A">
              <w:t>positive genotype test</w:t>
            </w:r>
          </w:p>
        </w:tc>
      </w:tr>
      <w:tr w:rsidR="00A35BEB" w14:paraId="258C7C10" w14:textId="77777777" w:rsidTr="00882002">
        <w:tc>
          <w:tcPr>
            <w:tcW w:w="2405" w:type="dxa"/>
            <w:vAlign w:val="center"/>
          </w:tcPr>
          <w:p w14:paraId="79D74C4E" w14:textId="1AFA31B4" w:rsidR="00A35BEB" w:rsidRDefault="00A35BEB" w:rsidP="00A35BEB">
            <w:pPr>
              <w:pStyle w:val="Tablecontent"/>
              <w:jc w:val="left"/>
            </w:pPr>
            <w:r>
              <w:t>Viral hepatitis B</w:t>
            </w:r>
          </w:p>
        </w:tc>
        <w:tc>
          <w:tcPr>
            <w:tcW w:w="2552" w:type="dxa"/>
            <w:vAlign w:val="center"/>
          </w:tcPr>
          <w:p w14:paraId="53974665" w14:textId="77777777" w:rsidR="00A35BEB" w:rsidRDefault="00A35BEB" w:rsidP="00A35BEB">
            <w:pPr>
              <w:pStyle w:val="Tablecontent"/>
              <w:jc w:val="left"/>
            </w:pPr>
            <w:r>
              <w:t>No; yes; unknown</w:t>
            </w:r>
          </w:p>
        </w:tc>
        <w:tc>
          <w:tcPr>
            <w:tcW w:w="4961" w:type="dxa"/>
            <w:vAlign w:val="center"/>
          </w:tcPr>
          <w:p w14:paraId="6D74667B" w14:textId="77777777" w:rsidR="00A35BEB" w:rsidRDefault="00A35BEB" w:rsidP="00A35BEB">
            <w:pPr>
              <w:pStyle w:val="Tablecontent"/>
              <w:jc w:val="left"/>
            </w:pPr>
            <w:r>
              <w:t>Defined by</w:t>
            </w:r>
            <w:r w:rsidRPr="001F546A">
              <w:t xml:space="preserve"> a positive </w:t>
            </w:r>
            <w:r>
              <w:t>HBV</w:t>
            </w:r>
            <w:r w:rsidRPr="001F546A">
              <w:t xml:space="preserve"> surface antigen test </w:t>
            </w:r>
            <w:r>
              <w:t>and/</w:t>
            </w:r>
            <w:r w:rsidRPr="001F546A">
              <w:t xml:space="preserve">or HBV </w:t>
            </w:r>
            <w:r>
              <w:t>D</w:t>
            </w:r>
            <w:r w:rsidRPr="001F546A">
              <w:t>NA &gt;357 IU/mL</w:t>
            </w:r>
          </w:p>
        </w:tc>
      </w:tr>
      <w:tr w:rsidR="00A35BEB" w14:paraId="5B3C57F6" w14:textId="77777777" w:rsidTr="00882002">
        <w:tc>
          <w:tcPr>
            <w:tcW w:w="2405" w:type="dxa"/>
            <w:vAlign w:val="center"/>
          </w:tcPr>
          <w:p w14:paraId="19804390" w14:textId="0B519884" w:rsidR="00A35BEB" w:rsidRDefault="00A35BEB" w:rsidP="00A35BEB">
            <w:pPr>
              <w:pStyle w:val="Tablecontent"/>
              <w:jc w:val="left"/>
            </w:pPr>
            <w:r>
              <w:lastRenderedPageBreak/>
              <w:t>Hypertension</w:t>
            </w:r>
          </w:p>
        </w:tc>
        <w:tc>
          <w:tcPr>
            <w:tcW w:w="2552" w:type="dxa"/>
            <w:vAlign w:val="center"/>
          </w:tcPr>
          <w:p w14:paraId="68ACA54E" w14:textId="77777777" w:rsidR="00A35BEB" w:rsidRDefault="00A35BEB" w:rsidP="00A35BEB">
            <w:pPr>
              <w:pStyle w:val="Tablecontent"/>
              <w:jc w:val="left"/>
            </w:pPr>
            <w:r>
              <w:t>No; yes; unknown</w:t>
            </w:r>
          </w:p>
        </w:tc>
        <w:tc>
          <w:tcPr>
            <w:tcW w:w="4961" w:type="dxa"/>
            <w:vAlign w:val="center"/>
          </w:tcPr>
          <w:p w14:paraId="424E91CE" w14:textId="6D495635" w:rsidR="00A35BEB" w:rsidRDefault="00A35BEB" w:rsidP="00A35BEB">
            <w:pPr>
              <w:pStyle w:val="Tablecontent"/>
              <w:jc w:val="left"/>
            </w:pPr>
            <w:r>
              <w:t>Confirmed by use of</w:t>
            </w:r>
            <w:r w:rsidRPr="001F546A">
              <w:t xml:space="preserve"> anti-hypertensives at any time before </w:t>
            </w:r>
            <w:r w:rsidR="00070ED4">
              <w:t>baseline</w:t>
            </w:r>
            <w:r w:rsidRPr="001F546A">
              <w:t xml:space="preserve"> or </w:t>
            </w:r>
            <w:r>
              <w:t xml:space="preserve">if </w:t>
            </w:r>
            <w:r w:rsidRPr="001F546A">
              <w:t>the most recent</w:t>
            </w:r>
            <w:r>
              <w:t xml:space="preserve"> systolic or diastolic</w:t>
            </w:r>
            <w:r w:rsidRPr="001F546A">
              <w:t xml:space="preserve"> blood pressure measurement before </w:t>
            </w:r>
            <w:r w:rsidR="00070ED4">
              <w:t>baseline</w:t>
            </w:r>
            <w:r w:rsidRPr="001F546A">
              <w:t xml:space="preserve"> </w:t>
            </w:r>
            <w:r w:rsidR="00DF4309">
              <w:t xml:space="preserve">is </w:t>
            </w:r>
            <w:r>
              <w:t>higher than 140 or 90 mmHg, respectively</w:t>
            </w:r>
          </w:p>
        </w:tc>
      </w:tr>
      <w:tr w:rsidR="00A35BEB" w14:paraId="70B1F77B" w14:textId="77777777" w:rsidTr="00882002">
        <w:tc>
          <w:tcPr>
            <w:tcW w:w="2405" w:type="dxa"/>
            <w:vAlign w:val="center"/>
          </w:tcPr>
          <w:p w14:paraId="35076730" w14:textId="5454B66D" w:rsidR="00A35BEB" w:rsidRDefault="00A35BEB" w:rsidP="00A35BEB">
            <w:pPr>
              <w:pStyle w:val="Tablecontent"/>
              <w:jc w:val="left"/>
            </w:pPr>
            <w:r>
              <w:t>Diabetes</w:t>
            </w:r>
          </w:p>
        </w:tc>
        <w:tc>
          <w:tcPr>
            <w:tcW w:w="2552" w:type="dxa"/>
            <w:vAlign w:val="center"/>
          </w:tcPr>
          <w:p w14:paraId="780E68B6" w14:textId="54E02FDE" w:rsidR="00A35BEB" w:rsidRDefault="00A35BEB" w:rsidP="00A35BEB">
            <w:pPr>
              <w:pStyle w:val="Tablecontent"/>
              <w:jc w:val="left"/>
            </w:pPr>
            <w:r>
              <w:t>No; yes; unknown</w:t>
            </w:r>
          </w:p>
        </w:tc>
        <w:tc>
          <w:tcPr>
            <w:tcW w:w="4961" w:type="dxa"/>
            <w:vAlign w:val="center"/>
          </w:tcPr>
          <w:p w14:paraId="5BD40ADF" w14:textId="009874C6" w:rsidR="00A35BEB" w:rsidRDefault="00A35BEB" w:rsidP="00A35BEB">
            <w:pPr>
              <w:pStyle w:val="Tablecontent"/>
              <w:jc w:val="left"/>
            </w:pPr>
            <w:r w:rsidRPr="009B2424">
              <w:rPr>
                <w:rFonts w:ascii="Calibri" w:hAnsi="Calibri" w:cs="Calibri"/>
              </w:rPr>
              <w:t xml:space="preserve">Defined as </w:t>
            </w:r>
            <w:r w:rsidR="004717CA" w:rsidRPr="007C2A16">
              <w:t>reported diagnosis, use of anti-diabetic medication, glucose ≥11.1 mmol/L, and/or HbA1c ≥6.5% or ≥48 mmol/mol</w:t>
            </w:r>
          </w:p>
        </w:tc>
      </w:tr>
      <w:tr w:rsidR="00A35BEB" w14:paraId="2D312077" w14:textId="77777777" w:rsidTr="00882002">
        <w:tc>
          <w:tcPr>
            <w:tcW w:w="2405" w:type="dxa"/>
            <w:vAlign w:val="center"/>
          </w:tcPr>
          <w:p w14:paraId="76702E27" w14:textId="7577C764" w:rsidR="00A35BEB" w:rsidRDefault="00A35BEB" w:rsidP="00A35BEB">
            <w:pPr>
              <w:pStyle w:val="Tablecontent"/>
              <w:jc w:val="left"/>
            </w:pPr>
            <w:r>
              <w:t>AIDS (non-cancer)</w:t>
            </w:r>
          </w:p>
        </w:tc>
        <w:tc>
          <w:tcPr>
            <w:tcW w:w="2552" w:type="dxa"/>
            <w:vAlign w:val="center"/>
          </w:tcPr>
          <w:p w14:paraId="48A793C4" w14:textId="77777777" w:rsidR="00A35BEB" w:rsidRDefault="00A35BEB" w:rsidP="00A35BEB">
            <w:pPr>
              <w:pStyle w:val="Tablecontent"/>
              <w:jc w:val="left"/>
            </w:pPr>
            <w:r>
              <w:t>No; yes; unknown</w:t>
            </w:r>
          </w:p>
        </w:tc>
        <w:tc>
          <w:tcPr>
            <w:tcW w:w="4961" w:type="dxa"/>
            <w:vAlign w:val="center"/>
          </w:tcPr>
          <w:p w14:paraId="5FDC9AF2" w14:textId="0B8DB444" w:rsidR="00A35BEB" w:rsidRPr="00DA46BE" w:rsidRDefault="00A35BEB" w:rsidP="00A35BEB">
            <w:pPr>
              <w:pStyle w:val="Tablecontent"/>
              <w:jc w:val="left"/>
            </w:pPr>
            <w:r w:rsidRPr="00DA46BE">
              <w:t>Composite diagnosis as defined by the CDC list of AIDS-defining conditions</w:t>
            </w:r>
            <w:r>
              <w:t xml:space="preserve"> </w:t>
            </w:r>
          </w:p>
        </w:tc>
      </w:tr>
      <w:tr w:rsidR="00A35BEB" w14:paraId="79746D8C" w14:textId="77777777" w:rsidTr="00882002">
        <w:tc>
          <w:tcPr>
            <w:tcW w:w="2405" w:type="dxa"/>
            <w:vAlign w:val="center"/>
          </w:tcPr>
          <w:p w14:paraId="50B733F2" w14:textId="496DCB56" w:rsidR="00A35BEB" w:rsidRDefault="00A35BEB" w:rsidP="00A35BEB">
            <w:pPr>
              <w:pStyle w:val="Tablecontent"/>
              <w:jc w:val="left"/>
            </w:pPr>
            <w:r>
              <w:t>AIDS cancer</w:t>
            </w:r>
          </w:p>
        </w:tc>
        <w:tc>
          <w:tcPr>
            <w:tcW w:w="2552" w:type="dxa"/>
            <w:vAlign w:val="center"/>
          </w:tcPr>
          <w:p w14:paraId="1F50A607" w14:textId="041A9AD3" w:rsidR="00A35BEB" w:rsidRDefault="00A35BEB" w:rsidP="00A35BEB">
            <w:pPr>
              <w:pStyle w:val="Tablecontent"/>
              <w:jc w:val="left"/>
            </w:pPr>
            <w:r>
              <w:t>No; yes; unknown</w:t>
            </w:r>
          </w:p>
        </w:tc>
        <w:tc>
          <w:tcPr>
            <w:tcW w:w="4961" w:type="dxa"/>
            <w:vAlign w:val="center"/>
          </w:tcPr>
          <w:p w14:paraId="73FE2F95" w14:textId="5545F42A" w:rsidR="00A35BEB" w:rsidRPr="00DA46BE" w:rsidRDefault="00A35BEB" w:rsidP="00A35BEB">
            <w:pPr>
              <w:pStyle w:val="Tablecontent"/>
              <w:jc w:val="left"/>
            </w:pPr>
            <w:r>
              <w:t>Composite diagnosis of Kaposi’s sarcoma, non-Hodgkin lymphoma, cervical cancer</w:t>
            </w:r>
          </w:p>
        </w:tc>
      </w:tr>
      <w:tr w:rsidR="00A35BEB" w14:paraId="4614D305" w14:textId="77777777" w:rsidTr="00882002">
        <w:tc>
          <w:tcPr>
            <w:tcW w:w="2405" w:type="dxa"/>
            <w:vAlign w:val="center"/>
          </w:tcPr>
          <w:p w14:paraId="029B8EF8" w14:textId="73C4728B" w:rsidR="00A35BEB" w:rsidRDefault="00DF4309" w:rsidP="00A35BEB">
            <w:pPr>
              <w:pStyle w:val="Tablecontent"/>
              <w:jc w:val="left"/>
            </w:pPr>
            <w:r>
              <w:t>N</w:t>
            </w:r>
            <w:r w:rsidR="00A35BEB">
              <w:t>on-AIDS defining cancer</w:t>
            </w:r>
          </w:p>
        </w:tc>
        <w:tc>
          <w:tcPr>
            <w:tcW w:w="2552" w:type="dxa"/>
            <w:vAlign w:val="center"/>
          </w:tcPr>
          <w:p w14:paraId="24C8845B" w14:textId="0BB2543E" w:rsidR="00A35BEB" w:rsidRDefault="00A35BEB" w:rsidP="00A35BEB">
            <w:pPr>
              <w:pStyle w:val="Tablecontent"/>
              <w:jc w:val="left"/>
            </w:pPr>
            <w:r>
              <w:t>No; yes; unknown</w:t>
            </w:r>
          </w:p>
        </w:tc>
        <w:tc>
          <w:tcPr>
            <w:tcW w:w="4961" w:type="dxa"/>
            <w:vAlign w:val="center"/>
          </w:tcPr>
          <w:p w14:paraId="3B8A5CBF" w14:textId="77B4DC5A" w:rsidR="00A35BEB" w:rsidRDefault="00A35BEB" w:rsidP="00A35BEB">
            <w:pPr>
              <w:pStyle w:val="Tablecontent"/>
              <w:jc w:val="left"/>
            </w:pPr>
            <w:r>
              <w:t xml:space="preserve">Any non-AIDS cancer, excluding skin cancers (expect malignant melanoma) and pre-cancers </w:t>
            </w:r>
          </w:p>
        </w:tc>
      </w:tr>
      <w:tr w:rsidR="00A35BEB" w14:paraId="29315A63" w14:textId="77777777" w:rsidTr="00882002">
        <w:tc>
          <w:tcPr>
            <w:tcW w:w="2405" w:type="dxa"/>
            <w:vAlign w:val="center"/>
          </w:tcPr>
          <w:p w14:paraId="27F0332C" w14:textId="5B76C0B6" w:rsidR="00A35BEB" w:rsidRDefault="00A35BEB" w:rsidP="00A35BEB">
            <w:pPr>
              <w:pStyle w:val="Tablecontent"/>
              <w:jc w:val="left"/>
            </w:pPr>
            <w:r>
              <w:t>End stage liver disease</w:t>
            </w:r>
          </w:p>
        </w:tc>
        <w:tc>
          <w:tcPr>
            <w:tcW w:w="2552" w:type="dxa"/>
            <w:vAlign w:val="center"/>
          </w:tcPr>
          <w:p w14:paraId="44E7D5FB" w14:textId="53567BDB" w:rsidR="00A35BEB" w:rsidRDefault="00A35BEB" w:rsidP="00A35BEB">
            <w:pPr>
              <w:pStyle w:val="Tablecontent"/>
              <w:jc w:val="left"/>
            </w:pPr>
            <w:r>
              <w:t>No; yes; unknown</w:t>
            </w:r>
          </w:p>
        </w:tc>
        <w:tc>
          <w:tcPr>
            <w:tcW w:w="4961" w:type="dxa"/>
            <w:vAlign w:val="center"/>
          </w:tcPr>
          <w:p w14:paraId="0D08E477" w14:textId="70765484" w:rsidR="00A35BEB" w:rsidRDefault="00A35BEB" w:rsidP="00A35BEB">
            <w:pPr>
              <w:pStyle w:val="Tablecontent"/>
              <w:jc w:val="left"/>
            </w:pPr>
            <w:r>
              <w:t xml:space="preserve">Composite diagnosis of ascites (where extrahepatic reasons are excluded), hepatic encephalopathy grade III-IV, hepatorenal syndrome, endoscopically verified variceal bleeding, spontaneous bacterial peritonitis liver transplantation, hepatocellular carcinoma </w:t>
            </w:r>
          </w:p>
        </w:tc>
      </w:tr>
      <w:tr w:rsidR="00A35BEB" w14:paraId="3993BD1B" w14:textId="77777777" w:rsidTr="00882002">
        <w:tc>
          <w:tcPr>
            <w:tcW w:w="2405" w:type="dxa"/>
            <w:vAlign w:val="center"/>
          </w:tcPr>
          <w:p w14:paraId="6565416F" w14:textId="65332122" w:rsidR="00A35BEB" w:rsidRDefault="00A35BEB" w:rsidP="00A35BEB">
            <w:pPr>
              <w:pStyle w:val="Tablecontent"/>
              <w:jc w:val="left"/>
            </w:pPr>
            <w:r>
              <w:t>End stage renal disease</w:t>
            </w:r>
          </w:p>
        </w:tc>
        <w:tc>
          <w:tcPr>
            <w:tcW w:w="2552" w:type="dxa"/>
            <w:vAlign w:val="center"/>
          </w:tcPr>
          <w:p w14:paraId="788C2560" w14:textId="37DA5647" w:rsidR="00A35BEB" w:rsidRDefault="00A35BEB" w:rsidP="00A35BEB">
            <w:pPr>
              <w:pStyle w:val="Tablecontent"/>
              <w:jc w:val="left"/>
            </w:pPr>
            <w:r>
              <w:t>No; yes; unknown</w:t>
            </w:r>
          </w:p>
        </w:tc>
        <w:tc>
          <w:tcPr>
            <w:tcW w:w="4961" w:type="dxa"/>
            <w:vAlign w:val="center"/>
          </w:tcPr>
          <w:p w14:paraId="3382BCDA" w14:textId="0695347B" w:rsidR="00A35BEB" w:rsidRDefault="00A35BEB" w:rsidP="00A35BEB">
            <w:pPr>
              <w:pStyle w:val="Tablecontent"/>
              <w:jc w:val="left"/>
            </w:pPr>
            <w:r>
              <w:t xml:space="preserve">Composite diagnosis of dialysis more than three months or kidney transplant </w:t>
            </w:r>
          </w:p>
        </w:tc>
      </w:tr>
      <w:tr w:rsidR="00A35BEB" w14:paraId="359FADC4" w14:textId="77777777" w:rsidTr="00882002">
        <w:tc>
          <w:tcPr>
            <w:tcW w:w="2405" w:type="dxa"/>
            <w:vAlign w:val="center"/>
          </w:tcPr>
          <w:p w14:paraId="73CA7A57" w14:textId="6894B3E5" w:rsidR="00A35BEB" w:rsidRDefault="00A35BEB" w:rsidP="00A35BEB">
            <w:pPr>
              <w:pStyle w:val="Tablecontent"/>
              <w:jc w:val="left"/>
            </w:pPr>
            <w:r>
              <w:t>Cardiovascular disease</w:t>
            </w:r>
          </w:p>
        </w:tc>
        <w:tc>
          <w:tcPr>
            <w:tcW w:w="2552" w:type="dxa"/>
            <w:vAlign w:val="center"/>
          </w:tcPr>
          <w:p w14:paraId="39C44B06" w14:textId="77777777" w:rsidR="00A35BEB" w:rsidRDefault="00A35BEB" w:rsidP="00A35BEB">
            <w:pPr>
              <w:pStyle w:val="Tablecontent"/>
              <w:jc w:val="left"/>
            </w:pPr>
            <w:r>
              <w:t>No; yes; unknown</w:t>
            </w:r>
          </w:p>
        </w:tc>
        <w:tc>
          <w:tcPr>
            <w:tcW w:w="4961" w:type="dxa"/>
            <w:vAlign w:val="center"/>
          </w:tcPr>
          <w:p w14:paraId="3A7F02EA" w14:textId="250B1526" w:rsidR="00A35BEB" w:rsidRDefault="00A35BEB" w:rsidP="00A35BEB">
            <w:pPr>
              <w:pStyle w:val="Tablecontent"/>
              <w:jc w:val="left"/>
            </w:pPr>
            <w:r>
              <w:t>C</w:t>
            </w:r>
            <w:r w:rsidRPr="001F546A">
              <w:t xml:space="preserve">omposite diagnosis of </w:t>
            </w:r>
            <w:r>
              <w:t>myocardial infarction</w:t>
            </w:r>
            <w:r w:rsidRPr="001F546A">
              <w:t xml:space="preserve">, stroke or </w:t>
            </w:r>
            <w:r>
              <w:t xml:space="preserve">invasive cardiovascular procedure </w:t>
            </w:r>
          </w:p>
        </w:tc>
      </w:tr>
      <w:tr w:rsidR="00A35BEB" w14:paraId="17614FC5" w14:textId="77777777" w:rsidTr="00882002">
        <w:tc>
          <w:tcPr>
            <w:tcW w:w="2405" w:type="dxa"/>
            <w:vAlign w:val="center"/>
          </w:tcPr>
          <w:p w14:paraId="49D9FB1D" w14:textId="3EFBCF7C" w:rsidR="00A35BEB" w:rsidRDefault="00A35BEB" w:rsidP="00A35BEB">
            <w:pPr>
              <w:pStyle w:val="Tablecontent"/>
              <w:jc w:val="left"/>
            </w:pPr>
            <w:r>
              <w:t>Chronic kidney disease</w:t>
            </w:r>
          </w:p>
        </w:tc>
        <w:tc>
          <w:tcPr>
            <w:tcW w:w="2552" w:type="dxa"/>
            <w:vAlign w:val="center"/>
          </w:tcPr>
          <w:p w14:paraId="4A83693E" w14:textId="77777777" w:rsidR="00A35BEB" w:rsidRDefault="00A35BEB" w:rsidP="00A35BEB">
            <w:pPr>
              <w:pStyle w:val="Tablecontent"/>
              <w:jc w:val="left"/>
            </w:pPr>
            <w:r>
              <w:t>No; yes; unknown</w:t>
            </w:r>
          </w:p>
        </w:tc>
        <w:tc>
          <w:tcPr>
            <w:tcW w:w="4961" w:type="dxa"/>
            <w:vAlign w:val="center"/>
          </w:tcPr>
          <w:p w14:paraId="2E6943F8" w14:textId="57636DC7" w:rsidR="00A35BEB" w:rsidRDefault="00A35BEB" w:rsidP="00A35BEB">
            <w:pPr>
              <w:pStyle w:val="Tablecontent"/>
              <w:jc w:val="left"/>
            </w:pPr>
            <w:r>
              <w:t>T</w:t>
            </w:r>
            <w:r w:rsidRPr="001F546A">
              <w:t>wo consecutive measurements of</w:t>
            </w:r>
            <w:r w:rsidRPr="008B45F1">
              <w:t xml:space="preserve"> </w:t>
            </w:r>
            <w:r w:rsidRPr="001F546A">
              <w:t xml:space="preserve">eGFR </w:t>
            </w:r>
            <w:r>
              <w:t>measured</w:t>
            </w:r>
            <w:r w:rsidRPr="001F546A">
              <w:t xml:space="preserve"> at least 3 months apart</w:t>
            </w:r>
            <w:r>
              <w:t xml:space="preserve"> </w:t>
            </w:r>
            <w:r w:rsidRPr="00F96768">
              <w:rPr>
                <w:u w:val="single"/>
              </w:rPr>
              <w:t>&lt;</w:t>
            </w:r>
            <w:r>
              <w:t>60</w:t>
            </w:r>
            <w:r w:rsidRPr="001F546A">
              <w:t xml:space="preserve"> mL/min</w:t>
            </w:r>
            <w:r>
              <w:t xml:space="preserve"> if the first eGFR was &gt;60 mL/min or a 25% decline if first eGFR was &lt;60 mL/min</w:t>
            </w:r>
            <w:r w:rsidRPr="001F546A">
              <w:t>. eGFR was calculated using the CKD-EPI creatinine equation</w:t>
            </w:r>
            <w:r>
              <w:t xml:space="preserve"> in RESPOND </w:t>
            </w:r>
          </w:p>
        </w:tc>
      </w:tr>
      <w:tr w:rsidR="007F1266" w14:paraId="1116ECF3" w14:textId="77777777" w:rsidTr="00882002">
        <w:tc>
          <w:tcPr>
            <w:tcW w:w="2405" w:type="dxa"/>
            <w:vAlign w:val="center"/>
          </w:tcPr>
          <w:p w14:paraId="7632949B" w14:textId="526B3B8D" w:rsidR="007F1266" w:rsidRDefault="007F1266" w:rsidP="00A35BEB">
            <w:pPr>
              <w:pStyle w:val="Tablecontent"/>
              <w:jc w:val="left"/>
            </w:pPr>
            <w:r>
              <w:t>Fractures</w:t>
            </w:r>
          </w:p>
        </w:tc>
        <w:tc>
          <w:tcPr>
            <w:tcW w:w="2552" w:type="dxa"/>
            <w:vAlign w:val="center"/>
          </w:tcPr>
          <w:p w14:paraId="0D7C03C2" w14:textId="0B8C95F8" w:rsidR="007F1266" w:rsidRDefault="007F1266" w:rsidP="00A35BEB">
            <w:pPr>
              <w:pStyle w:val="Tablecontent"/>
              <w:jc w:val="left"/>
            </w:pPr>
            <w:r>
              <w:t>No; yes; unknown</w:t>
            </w:r>
          </w:p>
        </w:tc>
        <w:tc>
          <w:tcPr>
            <w:tcW w:w="4961" w:type="dxa"/>
            <w:vAlign w:val="center"/>
          </w:tcPr>
          <w:p w14:paraId="69A8F048" w14:textId="77777777" w:rsidR="007F1266" w:rsidRPr="007C2A16" w:rsidRDefault="007F1266" w:rsidP="00A35BEB">
            <w:pPr>
              <w:pStyle w:val="Tablecontent"/>
              <w:jc w:val="left"/>
            </w:pPr>
          </w:p>
        </w:tc>
      </w:tr>
      <w:tr w:rsidR="00A35BEB" w14:paraId="44285AD7" w14:textId="77777777" w:rsidTr="00882002">
        <w:tc>
          <w:tcPr>
            <w:tcW w:w="2405" w:type="dxa"/>
            <w:vAlign w:val="center"/>
          </w:tcPr>
          <w:p w14:paraId="0B3E07C5" w14:textId="173E1594" w:rsidR="00A35BEB" w:rsidRDefault="00A35BEB" w:rsidP="00A35BEB">
            <w:pPr>
              <w:pStyle w:val="Tablecontent"/>
              <w:jc w:val="left"/>
            </w:pPr>
            <w:r>
              <w:t>Dyslipidaemia</w:t>
            </w:r>
          </w:p>
        </w:tc>
        <w:tc>
          <w:tcPr>
            <w:tcW w:w="2552" w:type="dxa"/>
            <w:vAlign w:val="center"/>
          </w:tcPr>
          <w:p w14:paraId="65BCC3D1" w14:textId="4E2CB3D7" w:rsidR="00A35BEB" w:rsidRDefault="00A35BEB" w:rsidP="00A35BEB">
            <w:pPr>
              <w:pStyle w:val="Tablecontent"/>
              <w:jc w:val="left"/>
            </w:pPr>
            <w:r>
              <w:t>No; yes; unknown</w:t>
            </w:r>
          </w:p>
        </w:tc>
        <w:tc>
          <w:tcPr>
            <w:tcW w:w="4961" w:type="dxa"/>
            <w:vAlign w:val="center"/>
          </w:tcPr>
          <w:p w14:paraId="15B10C0F" w14:textId="1C7745E2" w:rsidR="00A35BEB" w:rsidRDefault="00A35BEB" w:rsidP="00A35BEB">
            <w:pPr>
              <w:pStyle w:val="Tablecontent"/>
              <w:jc w:val="left"/>
            </w:pPr>
            <w:r w:rsidRPr="007C2A16">
              <w:t>Defined as total cholesterol&gt;239.4mg/dL or HDL cholesterol&lt;34.7mg/dL or triglyceride &gt;203.55mg/dL or use of lipid lowering treatments</w:t>
            </w:r>
            <w:r>
              <w:t xml:space="preserve"> </w:t>
            </w:r>
          </w:p>
        </w:tc>
      </w:tr>
      <w:tr w:rsidR="00A35BEB" w14:paraId="2703DCDC" w14:textId="77777777" w:rsidTr="00882002">
        <w:tc>
          <w:tcPr>
            <w:tcW w:w="2405" w:type="dxa"/>
            <w:vAlign w:val="center"/>
          </w:tcPr>
          <w:p w14:paraId="5B31B735" w14:textId="77777777" w:rsidR="00A35BEB" w:rsidRDefault="00A35BEB" w:rsidP="00A35BEB">
            <w:pPr>
              <w:pStyle w:val="Tablecontent"/>
              <w:jc w:val="left"/>
            </w:pPr>
            <w:r>
              <w:t>Geographical region</w:t>
            </w:r>
          </w:p>
        </w:tc>
        <w:tc>
          <w:tcPr>
            <w:tcW w:w="2552" w:type="dxa"/>
            <w:vAlign w:val="center"/>
          </w:tcPr>
          <w:p w14:paraId="1D4E4293" w14:textId="77777777" w:rsidR="00A35BEB" w:rsidRDefault="00A35BEB" w:rsidP="00A35BEB">
            <w:pPr>
              <w:pStyle w:val="Tablecontent"/>
              <w:jc w:val="left"/>
            </w:pPr>
            <w:r>
              <w:rPr>
                <w:rFonts w:cstheme="minorHAnsi"/>
              </w:rPr>
              <w:t>Western Europe; Northern Europe/Australia; Southern Europe; Eastern/East Central Europe; USA</w:t>
            </w:r>
          </w:p>
        </w:tc>
        <w:tc>
          <w:tcPr>
            <w:tcW w:w="4961" w:type="dxa"/>
            <w:vAlign w:val="center"/>
          </w:tcPr>
          <w:p w14:paraId="5E5CBE78" w14:textId="7C82B49F" w:rsidR="00A35BEB" w:rsidRPr="00F821BE" w:rsidRDefault="00A35BEB" w:rsidP="00A35BEB">
            <w:pPr>
              <w:pStyle w:val="Tablecontent"/>
              <w:jc w:val="left"/>
              <w:rPr>
                <w:rFonts w:cstheme="minorHAnsi"/>
              </w:rPr>
            </w:pPr>
            <w:r w:rsidRPr="00F821BE">
              <w:rPr>
                <w:rFonts w:cstheme="minorHAnsi"/>
              </w:rPr>
              <w:t>Due to low numbers</w:t>
            </w:r>
            <w:r w:rsidR="007C7F92">
              <w:rPr>
                <w:rFonts w:cstheme="minorHAnsi"/>
              </w:rPr>
              <w:t>,</w:t>
            </w:r>
            <w:r w:rsidRPr="00F821BE">
              <w:rPr>
                <w:rFonts w:cstheme="minorHAnsi"/>
              </w:rPr>
              <w:t xml:space="preserve"> Australia </w:t>
            </w:r>
            <w:r w:rsidR="007C7F92">
              <w:rPr>
                <w:rFonts w:cstheme="minorHAnsi"/>
              </w:rPr>
              <w:t>is usually</w:t>
            </w:r>
            <w:r w:rsidR="007C7F92" w:rsidRPr="00F821BE">
              <w:rPr>
                <w:rFonts w:cstheme="minorHAnsi"/>
              </w:rPr>
              <w:t xml:space="preserve"> </w:t>
            </w:r>
            <w:r w:rsidRPr="00F821BE">
              <w:rPr>
                <w:rFonts w:cstheme="minorHAnsi"/>
              </w:rPr>
              <w:t xml:space="preserve">combined with Northern Europe in analysis models, Eastern Central Europe </w:t>
            </w:r>
            <w:r w:rsidR="007C7F92">
              <w:rPr>
                <w:rFonts w:cstheme="minorHAnsi"/>
              </w:rPr>
              <w:t>is</w:t>
            </w:r>
            <w:r w:rsidR="007C7F92" w:rsidRPr="00F821BE">
              <w:rPr>
                <w:rFonts w:cstheme="minorHAnsi"/>
              </w:rPr>
              <w:t xml:space="preserve"> </w:t>
            </w:r>
            <w:r w:rsidRPr="00F821BE">
              <w:rPr>
                <w:rFonts w:cstheme="minorHAnsi"/>
              </w:rPr>
              <w:t>combined with Eastern Europe</w:t>
            </w:r>
            <w:r>
              <w:rPr>
                <w:rFonts w:cstheme="minorHAnsi"/>
              </w:rPr>
              <w:t xml:space="preserve">, and USA </w:t>
            </w:r>
            <w:r w:rsidR="007C7F92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combined with Western Europe</w:t>
            </w:r>
            <w:r w:rsidRPr="00F821BE">
              <w:rPr>
                <w:rFonts w:cstheme="minorHAnsi"/>
              </w:rPr>
              <w:t xml:space="preserve">. </w:t>
            </w:r>
          </w:p>
        </w:tc>
      </w:tr>
      <w:tr w:rsidR="00A35BEB" w14:paraId="13141955" w14:textId="77777777" w:rsidTr="00882002">
        <w:tc>
          <w:tcPr>
            <w:tcW w:w="2405" w:type="dxa"/>
            <w:vAlign w:val="center"/>
          </w:tcPr>
          <w:p w14:paraId="5A3CA08A" w14:textId="4AA2117A" w:rsidR="00A35BEB" w:rsidRDefault="00A35BEB" w:rsidP="00A35BEB">
            <w:pPr>
              <w:pStyle w:val="Tablecontent"/>
              <w:jc w:val="left"/>
            </w:pPr>
            <w:r>
              <w:t>Exposure to protease inhibitors</w:t>
            </w:r>
          </w:p>
        </w:tc>
        <w:tc>
          <w:tcPr>
            <w:tcW w:w="2552" w:type="dxa"/>
            <w:vAlign w:val="center"/>
          </w:tcPr>
          <w:p w14:paraId="62E7A5F2" w14:textId="3E554881" w:rsidR="00A35BEB" w:rsidRDefault="00A35BEB" w:rsidP="00A35BEB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No; yes; </w:t>
            </w:r>
            <w:r w:rsidR="0016625C">
              <w:rPr>
                <w:rFonts w:cstheme="minorHAnsi"/>
              </w:rPr>
              <w:t xml:space="preserve">or </w:t>
            </w:r>
            <w:r>
              <w:rPr>
                <w:rFonts w:cstheme="minorHAnsi"/>
              </w:rPr>
              <w:t xml:space="preserve">cumulative exposure, </w:t>
            </w:r>
            <w:r w:rsidR="0016625C">
              <w:rPr>
                <w:rFonts w:cstheme="minorHAnsi"/>
              </w:rPr>
              <w:t>or</w:t>
            </w:r>
            <w:r w:rsidR="004717CA">
              <w:rPr>
                <w:rFonts w:cstheme="minorHAnsi"/>
              </w:rPr>
              <w:t xml:space="preserve"> recent exposure, or</w:t>
            </w:r>
            <w:r w:rsidR="0016625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past exposure</w:t>
            </w:r>
          </w:p>
        </w:tc>
        <w:tc>
          <w:tcPr>
            <w:tcW w:w="4961" w:type="dxa"/>
            <w:vAlign w:val="center"/>
          </w:tcPr>
          <w:p w14:paraId="6BD6309E" w14:textId="0B506134" w:rsidR="00A35BEB" w:rsidRPr="00F821BE" w:rsidRDefault="004717CA" w:rsidP="00A35BEB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Recent exposure usually defined as on drug within the previous 6 months</w:t>
            </w:r>
          </w:p>
        </w:tc>
      </w:tr>
      <w:tr w:rsidR="00A35BEB" w14:paraId="48B21BCC" w14:textId="77777777" w:rsidTr="00882002">
        <w:tc>
          <w:tcPr>
            <w:tcW w:w="2405" w:type="dxa"/>
            <w:vAlign w:val="center"/>
          </w:tcPr>
          <w:p w14:paraId="051C9624" w14:textId="4685474B" w:rsidR="00A35BEB" w:rsidRDefault="00A35BEB" w:rsidP="00A35BEB">
            <w:pPr>
              <w:pStyle w:val="Tablecontent"/>
              <w:jc w:val="left"/>
            </w:pPr>
            <w:r>
              <w:t>Exposure to integrase strand transfer inhibitors</w:t>
            </w:r>
          </w:p>
        </w:tc>
        <w:tc>
          <w:tcPr>
            <w:tcW w:w="2552" w:type="dxa"/>
            <w:vAlign w:val="center"/>
          </w:tcPr>
          <w:p w14:paraId="34B8A8C3" w14:textId="347D2194" w:rsidR="00A35BEB" w:rsidRDefault="00A35BEB" w:rsidP="00A35BEB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No; yes; </w:t>
            </w:r>
            <w:r w:rsidR="0016625C">
              <w:rPr>
                <w:rFonts w:cstheme="minorHAnsi"/>
              </w:rPr>
              <w:t xml:space="preserve">or </w:t>
            </w:r>
            <w:r>
              <w:rPr>
                <w:rFonts w:cstheme="minorHAnsi"/>
              </w:rPr>
              <w:t xml:space="preserve">cumulative exposure, </w:t>
            </w:r>
            <w:r w:rsidR="0016625C">
              <w:rPr>
                <w:rFonts w:cstheme="minorHAnsi"/>
              </w:rPr>
              <w:t>or</w:t>
            </w:r>
            <w:r w:rsidR="004717CA">
              <w:rPr>
                <w:rFonts w:cstheme="minorHAnsi"/>
              </w:rPr>
              <w:t xml:space="preserve"> recent exposure, or</w:t>
            </w:r>
            <w:r w:rsidR="0016625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past exposure</w:t>
            </w:r>
          </w:p>
        </w:tc>
        <w:tc>
          <w:tcPr>
            <w:tcW w:w="4961" w:type="dxa"/>
            <w:vAlign w:val="center"/>
          </w:tcPr>
          <w:p w14:paraId="2B2F17D5" w14:textId="25ADC64F" w:rsidR="00A35BEB" w:rsidRPr="00F821BE" w:rsidRDefault="004717CA" w:rsidP="00A35BEB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Recent exposure usually defined as on drug within the previous 6 months</w:t>
            </w:r>
          </w:p>
        </w:tc>
      </w:tr>
      <w:tr w:rsidR="00A35BEB" w14:paraId="00AB4164" w14:textId="77777777" w:rsidTr="00882002">
        <w:tc>
          <w:tcPr>
            <w:tcW w:w="2405" w:type="dxa"/>
            <w:vAlign w:val="center"/>
          </w:tcPr>
          <w:p w14:paraId="73E13DA5" w14:textId="020CD726" w:rsidR="00A35BEB" w:rsidRDefault="00A35BEB" w:rsidP="00A35BEB">
            <w:pPr>
              <w:pStyle w:val="Tablecontent"/>
              <w:jc w:val="left"/>
            </w:pPr>
            <w:r>
              <w:t>Exposure to non-nucleoside reverse transcriptase inhibitors</w:t>
            </w:r>
          </w:p>
        </w:tc>
        <w:tc>
          <w:tcPr>
            <w:tcW w:w="2552" w:type="dxa"/>
            <w:vAlign w:val="center"/>
          </w:tcPr>
          <w:p w14:paraId="2306C94C" w14:textId="45798DA1" w:rsidR="00A35BEB" w:rsidRDefault="00A35BEB" w:rsidP="00A35BEB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No; yes;</w:t>
            </w:r>
            <w:r w:rsidR="0016625C">
              <w:rPr>
                <w:rFonts w:cstheme="minorHAnsi"/>
              </w:rPr>
              <w:t xml:space="preserve"> or</w:t>
            </w:r>
            <w:r>
              <w:rPr>
                <w:rFonts w:cstheme="minorHAnsi"/>
              </w:rPr>
              <w:t xml:space="preserve"> cumulative exposure,</w:t>
            </w:r>
            <w:r w:rsidR="0016625C">
              <w:rPr>
                <w:rFonts w:cstheme="minorHAnsi"/>
              </w:rPr>
              <w:t xml:space="preserve"> or</w:t>
            </w:r>
            <w:r w:rsidR="004717CA">
              <w:rPr>
                <w:rFonts w:cstheme="minorHAnsi"/>
              </w:rPr>
              <w:t xml:space="preserve"> recent exposure, or</w:t>
            </w:r>
            <w:r>
              <w:rPr>
                <w:rFonts w:cstheme="minorHAnsi"/>
              </w:rPr>
              <w:t xml:space="preserve"> past exposure</w:t>
            </w:r>
          </w:p>
        </w:tc>
        <w:tc>
          <w:tcPr>
            <w:tcW w:w="4961" w:type="dxa"/>
            <w:vAlign w:val="center"/>
          </w:tcPr>
          <w:p w14:paraId="566520E1" w14:textId="169D83F1" w:rsidR="00A35BEB" w:rsidRPr="00F821BE" w:rsidRDefault="004717CA" w:rsidP="00A35BEB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Recent exposure usually defined as on drug within the previous 6 months</w:t>
            </w:r>
          </w:p>
        </w:tc>
      </w:tr>
      <w:tr w:rsidR="00A35BEB" w14:paraId="1611B5FD" w14:textId="77777777" w:rsidTr="00882002">
        <w:tc>
          <w:tcPr>
            <w:tcW w:w="2405" w:type="dxa"/>
            <w:vAlign w:val="center"/>
          </w:tcPr>
          <w:p w14:paraId="052C6F36" w14:textId="5CB83B64" w:rsidR="00A35BEB" w:rsidRDefault="00011C4C" w:rsidP="00A35BEB">
            <w:pPr>
              <w:pStyle w:val="Tablecontent"/>
              <w:jc w:val="left"/>
            </w:pPr>
            <w:r>
              <w:lastRenderedPageBreak/>
              <w:t>Exposure to nucleoside reverse transcriptase inhibitors</w:t>
            </w:r>
          </w:p>
        </w:tc>
        <w:tc>
          <w:tcPr>
            <w:tcW w:w="2552" w:type="dxa"/>
            <w:vAlign w:val="center"/>
          </w:tcPr>
          <w:p w14:paraId="14B324C4" w14:textId="6E6299D0" w:rsidR="00A35BEB" w:rsidRDefault="00011C4C" w:rsidP="00A35BEB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No; yes; </w:t>
            </w:r>
            <w:r w:rsidR="0016625C">
              <w:rPr>
                <w:rFonts w:cstheme="minorHAnsi"/>
              </w:rPr>
              <w:t xml:space="preserve">or </w:t>
            </w:r>
            <w:r>
              <w:rPr>
                <w:rFonts w:cstheme="minorHAnsi"/>
              </w:rPr>
              <w:t xml:space="preserve">cumulative exposure, </w:t>
            </w:r>
            <w:r w:rsidR="0016625C">
              <w:rPr>
                <w:rFonts w:cstheme="minorHAnsi"/>
              </w:rPr>
              <w:t xml:space="preserve">or </w:t>
            </w:r>
            <w:r>
              <w:rPr>
                <w:rFonts w:cstheme="minorHAnsi"/>
              </w:rPr>
              <w:t xml:space="preserve">recent exposure, </w:t>
            </w:r>
            <w:r w:rsidR="0016625C">
              <w:rPr>
                <w:rFonts w:cstheme="minorHAnsi"/>
              </w:rPr>
              <w:t xml:space="preserve">or </w:t>
            </w:r>
            <w:r>
              <w:rPr>
                <w:rFonts w:cstheme="minorHAnsi"/>
              </w:rPr>
              <w:t>past exposure</w:t>
            </w:r>
          </w:p>
        </w:tc>
        <w:tc>
          <w:tcPr>
            <w:tcW w:w="4961" w:type="dxa"/>
            <w:vAlign w:val="center"/>
          </w:tcPr>
          <w:p w14:paraId="379624E2" w14:textId="46EBA3E0" w:rsidR="00A35BEB" w:rsidRPr="00F821BE" w:rsidRDefault="004717CA" w:rsidP="00A35BEB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Recent exposure usually defined as on drug within the previous 6 months</w:t>
            </w:r>
          </w:p>
        </w:tc>
      </w:tr>
      <w:tr w:rsidR="00070ED4" w14:paraId="5330ACE8" w14:textId="77777777" w:rsidTr="00882002">
        <w:tc>
          <w:tcPr>
            <w:tcW w:w="2405" w:type="dxa"/>
            <w:vAlign w:val="center"/>
          </w:tcPr>
          <w:p w14:paraId="46734669" w14:textId="4ACA045C" w:rsidR="00070ED4" w:rsidRDefault="00070ED4" w:rsidP="00070ED4">
            <w:pPr>
              <w:pStyle w:val="Tablecontent"/>
              <w:jc w:val="left"/>
            </w:pPr>
            <w:r w:rsidRPr="006E68FD">
              <w:rPr>
                <w:rFonts w:cstheme="minorHAnsi"/>
                <w:lang w:val="en-US"/>
              </w:rPr>
              <w:t xml:space="preserve">CD4 cell count </w:t>
            </w:r>
          </w:p>
        </w:tc>
        <w:tc>
          <w:tcPr>
            <w:tcW w:w="2552" w:type="dxa"/>
            <w:vAlign w:val="center"/>
          </w:tcPr>
          <w:p w14:paraId="4F610B67" w14:textId="6B9E1C6C" w:rsidR="00070ED4" w:rsidRDefault="00070ED4" w:rsidP="00070ED4">
            <w:pPr>
              <w:pStyle w:val="Tablecontent"/>
              <w:jc w:val="left"/>
              <w:rPr>
                <w:rFonts w:cstheme="minorHAnsi"/>
              </w:rPr>
            </w:pPr>
            <w:r w:rsidRPr="006E68FD">
              <w:rPr>
                <w:lang w:val="en-US"/>
              </w:rPr>
              <w:t>Continuous</w:t>
            </w:r>
          </w:p>
        </w:tc>
        <w:tc>
          <w:tcPr>
            <w:tcW w:w="4961" w:type="dxa"/>
            <w:vAlign w:val="center"/>
          </w:tcPr>
          <w:p w14:paraId="58FF3F6A" w14:textId="1A72E30D" w:rsidR="00070ED4" w:rsidRPr="00F821BE" w:rsidRDefault="00B059C2" w:rsidP="00070ED4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Ln2(CD4) if a covariate</w:t>
            </w:r>
          </w:p>
        </w:tc>
      </w:tr>
      <w:tr w:rsidR="00070ED4" w14:paraId="2DAEF9CA" w14:textId="77777777" w:rsidTr="00882002">
        <w:tc>
          <w:tcPr>
            <w:tcW w:w="2405" w:type="dxa"/>
            <w:vAlign w:val="center"/>
          </w:tcPr>
          <w:p w14:paraId="3A7B7B26" w14:textId="12E3A6E4" w:rsidR="00070ED4" w:rsidRDefault="00070ED4" w:rsidP="00070ED4">
            <w:pPr>
              <w:pStyle w:val="Tablecontent"/>
              <w:jc w:val="left"/>
            </w:pPr>
            <w:r>
              <w:rPr>
                <w:rFonts w:cstheme="minorHAnsi"/>
                <w:lang w:val="en-US"/>
              </w:rPr>
              <w:t>Systolic blood pressure</w:t>
            </w:r>
          </w:p>
        </w:tc>
        <w:tc>
          <w:tcPr>
            <w:tcW w:w="2552" w:type="dxa"/>
            <w:vAlign w:val="center"/>
          </w:tcPr>
          <w:p w14:paraId="2E302477" w14:textId="55438A72" w:rsidR="00070ED4" w:rsidRDefault="00070ED4" w:rsidP="00070ED4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lang w:val="en-US"/>
              </w:rPr>
              <w:t>Continuous</w:t>
            </w:r>
          </w:p>
        </w:tc>
        <w:tc>
          <w:tcPr>
            <w:tcW w:w="4961" w:type="dxa"/>
            <w:vAlign w:val="center"/>
          </w:tcPr>
          <w:p w14:paraId="07F3C3E6" w14:textId="70B5E610" w:rsidR="00070ED4" w:rsidRPr="00F821BE" w:rsidRDefault="00B059C2" w:rsidP="00070ED4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Continuous if a covariate</w:t>
            </w:r>
          </w:p>
        </w:tc>
      </w:tr>
      <w:tr w:rsidR="00070ED4" w14:paraId="262F9987" w14:textId="77777777" w:rsidTr="00882002">
        <w:tc>
          <w:tcPr>
            <w:tcW w:w="2405" w:type="dxa"/>
            <w:vAlign w:val="center"/>
          </w:tcPr>
          <w:p w14:paraId="01E9A4A5" w14:textId="6535AC1A" w:rsidR="00070ED4" w:rsidRDefault="00070ED4" w:rsidP="00070ED4">
            <w:pPr>
              <w:pStyle w:val="Tablecontent"/>
              <w:jc w:val="left"/>
            </w:pPr>
            <w:r>
              <w:rPr>
                <w:rFonts w:cstheme="minorHAnsi"/>
                <w:lang w:val="en-US"/>
              </w:rPr>
              <w:t>Total cholesterol</w:t>
            </w:r>
          </w:p>
        </w:tc>
        <w:tc>
          <w:tcPr>
            <w:tcW w:w="2552" w:type="dxa"/>
            <w:vAlign w:val="center"/>
          </w:tcPr>
          <w:p w14:paraId="7B5DF6B3" w14:textId="75281832" w:rsidR="00070ED4" w:rsidRDefault="00070ED4" w:rsidP="00070ED4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lang w:val="en-US"/>
              </w:rPr>
              <w:t>Continuous</w:t>
            </w:r>
          </w:p>
        </w:tc>
        <w:tc>
          <w:tcPr>
            <w:tcW w:w="4961" w:type="dxa"/>
            <w:vAlign w:val="center"/>
          </w:tcPr>
          <w:p w14:paraId="5ECE2A0A" w14:textId="5279DBB9" w:rsidR="00070ED4" w:rsidRPr="00F821BE" w:rsidRDefault="00B059C2" w:rsidP="00070ED4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Continuous if a covariate</w:t>
            </w:r>
          </w:p>
        </w:tc>
      </w:tr>
      <w:tr w:rsidR="00070ED4" w14:paraId="2ABAB555" w14:textId="77777777" w:rsidTr="00882002">
        <w:tc>
          <w:tcPr>
            <w:tcW w:w="2405" w:type="dxa"/>
            <w:vAlign w:val="center"/>
          </w:tcPr>
          <w:p w14:paraId="4C0A0BE4" w14:textId="7518A111" w:rsidR="00070ED4" w:rsidRDefault="00070ED4" w:rsidP="00070ED4">
            <w:pPr>
              <w:pStyle w:val="Tablecontent"/>
              <w:jc w:val="left"/>
            </w:pPr>
            <w:r>
              <w:rPr>
                <w:rFonts w:cstheme="minorHAnsi"/>
                <w:lang w:val="en-US"/>
              </w:rPr>
              <w:t>High-density lipoprotein</w:t>
            </w:r>
          </w:p>
        </w:tc>
        <w:tc>
          <w:tcPr>
            <w:tcW w:w="2552" w:type="dxa"/>
            <w:vAlign w:val="center"/>
          </w:tcPr>
          <w:p w14:paraId="3876F475" w14:textId="4968C0C4" w:rsidR="00070ED4" w:rsidRDefault="00070ED4" w:rsidP="00070ED4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lang w:val="en-US"/>
              </w:rPr>
              <w:t>Continuous</w:t>
            </w:r>
          </w:p>
        </w:tc>
        <w:tc>
          <w:tcPr>
            <w:tcW w:w="4961" w:type="dxa"/>
            <w:vAlign w:val="center"/>
          </w:tcPr>
          <w:p w14:paraId="468D030C" w14:textId="5361AB0D" w:rsidR="00070ED4" w:rsidRPr="00F821BE" w:rsidRDefault="00B059C2" w:rsidP="00070ED4">
            <w:pPr>
              <w:pStyle w:val="Tablecontent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Continuous if a covariate</w:t>
            </w:r>
          </w:p>
        </w:tc>
      </w:tr>
    </w:tbl>
    <w:p w14:paraId="44F85126" w14:textId="0002F532" w:rsidR="006D5A65" w:rsidRDefault="006D5A65" w:rsidP="006D5A65"/>
    <w:p w14:paraId="0C851D83" w14:textId="13620FC3" w:rsidR="00D66317" w:rsidRDefault="00D66317" w:rsidP="006D5A65">
      <w:r>
        <w:t>* RESPOND also includes a small number of transgender individuals, typically too small to include as a separate category.</w:t>
      </w:r>
    </w:p>
    <w:p w14:paraId="64A16DA3" w14:textId="3728E0AD" w:rsidR="006D5A65" w:rsidRDefault="006D5A65" w:rsidP="006D5A65">
      <w:pPr>
        <w:pStyle w:val="Caption"/>
      </w:pPr>
      <w:r>
        <w:t>Abbreviations: MSM – men who have sex with men; IDU – injecting drug use; VL – viral load; HCV – hepatitis C; RNA - r</w:t>
      </w:r>
      <w:r>
        <w:rPr>
          <w:rStyle w:val="e24kjd"/>
        </w:rPr>
        <w:t>ibonucleic acid;</w:t>
      </w:r>
      <w:r>
        <w:t xml:space="preserve"> HBV – hepatitis B;</w:t>
      </w:r>
      <w:r w:rsidRPr="00495C4A">
        <w:t xml:space="preserve"> CKD – chronic kidney disease; eGFR - estimated glomerular filtration rate; CKD-EPI - Chronic Kidney Disease Epidemiology Collaboration</w:t>
      </w:r>
      <w:r>
        <w:t xml:space="preserve">; CG – Cockcroft-Gault; HDL - </w:t>
      </w:r>
      <w:r>
        <w:rPr>
          <w:rStyle w:val="hgkelc"/>
        </w:rPr>
        <w:t>high-density lipoproteins; USA – United States of America</w:t>
      </w:r>
    </w:p>
    <w:p w14:paraId="12433204" w14:textId="0FBC212F" w:rsidR="006D5A65" w:rsidRDefault="006D5A65" w:rsidP="006D5A65"/>
    <w:p w14:paraId="554F7FF5" w14:textId="56EAB54D" w:rsidR="006D5A65" w:rsidRDefault="006D5A65" w:rsidP="006D5A65">
      <w:pPr>
        <w:pStyle w:val="ListParagraph"/>
        <w:numPr>
          <w:ilvl w:val="0"/>
          <w:numId w:val="1"/>
        </w:numPr>
      </w:pPr>
      <w:r>
        <w:t>Data analysis</w:t>
      </w:r>
    </w:p>
    <w:p w14:paraId="58AF52E3" w14:textId="77777777" w:rsidR="00CC515B" w:rsidRPr="002C4EAA" w:rsidRDefault="006D5A65" w:rsidP="006D5A65">
      <w:pPr>
        <w:ind w:left="360"/>
        <w:rPr>
          <w:i/>
          <w:iCs/>
          <w:highlight w:val="yellow"/>
        </w:rPr>
      </w:pPr>
      <w:r w:rsidRPr="002C4EAA">
        <w:rPr>
          <w:i/>
          <w:iCs/>
          <w:highlight w:val="yellow"/>
        </w:rPr>
        <w:t xml:space="preserve">Provide a detailed description of a proposed analysis for each objective, linked to the objectives above.  The data analysis plan should note </w:t>
      </w:r>
    </w:p>
    <w:p w14:paraId="166F48D0" w14:textId="4BEFD611" w:rsidR="00CC515B" w:rsidRPr="002C4EAA" w:rsidRDefault="00CC515B" w:rsidP="00CC515B">
      <w:pPr>
        <w:pStyle w:val="ListParagraph"/>
        <w:numPr>
          <w:ilvl w:val="0"/>
          <w:numId w:val="2"/>
        </w:numPr>
        <w:rPr>
          <w:i/>
          <w:iCs/>
          <w:highlight w:val="yellow"/>
        </w:rPr>
      </w:pPr>
      <w:r w:rsidRPr="002C4EAA">
        <w:rPr>
          <w:i/>
          <w:iCs/>
          <w:highlight w:val="yellow"/>
        </w:rPr>
        <w:t>descriptive statistics and methods for comparing groups in any descriptive analyses</w:t>
      </w:r>
    </w:p>
    <w:p w14:paraId="2193079E" w14:textId="6955D3B6" w:rsidR="00CC515B" w:rsidRDefault="006D5A65" w:rsidP="00CC515B">
      <w:pPr>
        <w:pStyle w:val="ListParagraph"/>
        <w:numPr>
          <w:ilvl w:val="0"/>
          <w:numId w:val="2"/>
        </w:numPr>
        <w:rPr>
          <w:i/>
          <w:iCs/>
          <w:highlight w:val="yellow"/>
        </w:rPr>
      </w:pPr>
      <w:r w:rsidRPr="002C4EAA">
        <w:rPr>
          <w:i/>
          <w:iCs/>
          <w:highlight w:val="yellow"/>
        </w:rPr>
        <w:t>methodology</w:t>
      </w:r>
      <w:r w:rsidR="00CC515B" w:rsidRPr="002C4EAA">
        <w:rPr>
          <w:i/>
          <w:iCs/>
          <w:highlight w:val="yellow"/>
        </w:rPr>
        <w:t>/models</w:t>
      </w:r>
      <w:r w:rsidRPr="002C4EAA">
        <w:rPr>
          <w:i/>
          <w:iCs/>
          <w:highlight w:val="yellow"/>
        </w:rPr>
        <w:t xml:space="preserve"> </w:t>
      </w:r>
      <w:r w:rsidR="00CC515B" w:rsidRPr="002C4EAA">
        <w:rPr>
          <w:i/>
          <w:iCs/>
          <w:highlight w:val="yellow"/>
        </w:rPr>
        <w:t xml:space="preserve">to be </w:t>
      </w:r>
      <w:r w:rsidRPr="002C4EAA">
        <w:rPr>
          <w:i/>
          <w:iCs/>
          <w:highlight w:val="yellow"/>
        </w:rPr>
        <w:t>used</w:t>
      </w:r>
      <w:r w:rsidR="00882002">
        <w:rPr>
          <w:i/>
          <w:iCs/>
          <w:highlight w:val="yellow"/>
        </w:rPr>
        <w:t xml:space="preserve"> and model outputs; (</w:t>
      </w:r>
      <w:proofErr w:type="spellStart"/>
      <w:r w:rsidR="00882002">
        <w:rPr>
          <w:i/>
          <w:iCs/>
          <w:highlight w:val="yellow"/>
        </w:rPr>
        <w:t>eg</w:t>
      </w:r>
      <w:proofErr w:type="spellEnd"/>
      <w:r w:rsidR="00882002">
        <w:rPr>
          <w:i/>
          <w:iCs/>
          <w:highlight w:val="yellow"/>
        </w:rPr>
        <w:t xml:space="preserve"> incidence rate ratios, 95% confidence intervals etc</w:t>
      </w:r>
      <w:r w:rsidR="001773C1">
        <w:rPr>
          <w:i/>
          <w:iCs/>
          <w:highlight w:val="yellow"/>
        </w:rPr>
        <w:t xml:space="preserve">; see methodology </w:t>
      </w:r>
      <w:r w:rsidR="001773C1" w:rsidRPr="003835FE">
        <w:rPr>
          <w:i/>
          <w:iCs/>
          <w:highlight w:val="yellow"/>
        </w:rPr>
        <w:t>document</w:t>
      </w:r>
      <w:r w:rsidR="00247721">
        <w:rPr>
          <w:i/>
          <w:iCs/>
          <w:highlight w:val="yellow"/>
        </w:rPr>
        <w:t xml:space="preserve"> </w:t>
      </w:r>
      <w:hyperlink r:id="rId8" w:history="1">
        <w:r w:rsidR="00247721" w:rsidRPr="00247721">
          <w:rPr>
            <w:rStyle w:val="Hyperlink"/>
            <w:i/>
            <w:iCs/>
            <w:highlight w:val="yellow"/>
          </w:rPr>
          <w:t>here</w:t>
        </w:r>
      </w:hyperlink>
      <w:r w:rsidR="00882002" w:rsidRPr="003835FE">
        <w:rPr>
          <w:i/>
          <w:iCs/>
          <w:highlight w:val="yellow"/>
        </w:rPr>
        <w:t>)</w:t>
      </w:r>
    </w:p>
    <w:p w14:paraId="4825A572" w14:textId="2B14876A" w:rsidR="00882002" w:rsidRPr="002C4EAA" w:rsidRDefault="00882002" w:rsidP="00882002">
      <w:pPr>
        <w:pStyle w:val="ListParagraph"/>
        <w:numPr>
          <w:ilvl w:val="0"/>
          <w:numId w:val="2"/>
        </w:numPr>
        <w:rPr>
          <w:i/>
          <w:iCs/>
          <w:highlight w:val="yellow"/>
        </w:rPr>
      </w:pPr>
      <w:r w:rsidRPr="002C4EAA">
        <w:rPr>
          <w:i/>
          <w:iCs/>
          <w:highlight w:val="yellow"/>
        </w:rPr>
        <w:t>model building strategies</w:t>
      </w:r>
      <w:r>
        <w:rPr>
          <w:i/>
          <w:iCs/>
          <w:highlight w:val="yellow"/>
        </w:rPr>
        <w:t xml:space="preserve"> including criteria for inclusion or exclusion of specific variables</w:t>
      </w:r>
    </w:p>
    <w:p w14:paraId="7102E752" w14:textId="0CE2EE33" w:rsidR="00882002" w:rsidRPr="002C4EAA" w:rsidRDefault="00882002" w:rsidP="00CC515B">
      <w:pPr>
        <w:pStyle w:val="ListParagraph"/>
        <w:numPr>
          <w:ilvl w:val="0"/>
          <w:numId w:val="2"/>
        </w:numPr>
        <w:rPr>
          <w:i/>
          <w:iCs/>
          <w:highlight w:val="yellow"/>
        </w:rPr>
      </w:pPr>
      <w:r>
        <w:rPr>
          <w:i/>
          <w:iCs/>
          <w:highlight w:val="yellow"/>
        </w:rPr>
        <w:t xml:space="preserve">assumptions for </w:t>
      </w:r>
      <w:proofErr w:type="gramStart"/>
      <w:r>
        <w:rPr>
          <w:i/>
          <w:iCs/>
          <w:highlight w:val="yellow"/>
        </w:rPr>
        <w:t>methodology;</w:t>
      </w:r>
      <w:proofErr w:type="gramEnd"/>
      <w:r>
        <w:rPr>
          <w:i/>
          <w:iCs/>
          <w:highlight w:val="yellow"/>
        </w:rPr>
        <w:t xml:space="preserve"> </w:t>
      </w:r>
      <w:proofErr w:type="spellStart"/>
      <w:r>
        <w:rPr>
          <w:i/>
          <w:iCs/>
          <w:highlight w:val="yellow"/>
        </w:rPr>
        <w:t>eg</w:t>
      </w:r>
      <w:proofErr w:type="spellEnd"/>
      <w:r>
        <w:rPr>
          <w:i/>
          <w:iCs/>
          <w:highlight w:val="yellow"/>
        </w:rPr>
        <w:t xml:space="preserve"> LOCF, left censoring, time-lagging</w:t>
      </w:r>
    </w:p>
    <w:p w14:paraId="0137CB6B" w14:textId="7EEAF9D6" w:rsidR="00CC515B" w:rsidRDefault="006D5A65" w:rsidP="00CC515B">
      <w:pPr>
        <w:pStyle w:val="ListParagraph"/>
        <w:numPr>
          <w:ilvl w:val="0"/>
          <w:numId w:val="2"/>
        </w:numPr>
        <w:rPr>
          <w:i/>
          <w:iCs/>
          <w:highlight w:val="yellow"/>
        </w:rPr>
      </w:pPr>
      <w:r w:rsidRPr="002C4EAA">
        <w:rPr>
          <w:i/>
          <w:iCs/>
          <w:highlight w:val="yellow"/>
        </w:rPr>
        <w:t>criteria for inclusion and exclusion of specific variables</w:t>
      </w:r>
      <w:r w:rsidR="005A4011">
        <w:rPr>
          <w:i/>
          <w:iCs/>
          <w:highlight w:val="yellow"/>
        </w:rPr>
        <w:t xml:space="preserve"> and/or cohort participation</w:t>
      </w:r>
      <w:r w:rsidR="00882D97">
        <w:rPr>
          <w:i/>
          <w:iCs/>
          <w:highlight w:val="yellow"/>
        </w:rPr>
        <w:t xml:space="preserve"> depending on completeness of data over the duration of the study</w:t>
      </w:r>
    </w:p>
    <w:p w14:paraId="118B6DB2" w14:textId="77777777" w:rsidR="00882D97" w:rsidRPr="002C4EAA" w:rsidRDefault="00882D97" w:rsidP="00882D97">
      <w:pPr>
        <w:pStyle w:val="ListParagraph"/>
        <w:numPr>
          <w:ilvl w:val="0"/>
          <w:numId w:val="2"/>
        </w:numPr>
        <w:rPr>
          <w:i/>
          <w:iCs/>
          <w:highlight w:val="yellow"/>
        </w:rPr>
      </w:pPr>
      <w:r>
        <w:rPr>
          <w:i/>
          <w:iCs/>
          <w:highlight w:val="yellow"/>
        </w:rPr>
        <w:t>Protocol for handling missing or incomplete data</w:t>
      </w:r>
    </w:p>
    <w:p w14:paraId="7ECBEE09" w14:textId="638E36DB" w:rsidR="00882002" w:rsidRDefault="00882002" w:rsidP="00CC515B">
      <w:pPr>
        <w:pStyle w:val="ListParagraph"/>
        <w:numPr>
          <w:ilvl w:val="0"/>
          <w:numId w:val="2"/>
        </w:numPr>
        <w:rPr>
          <w:i/>
          <w:iCs/>
          <w:highlight w:val="yellow"/>
        </w:rPr>
      </w:pPr>
      <w:r>
        <w:rPr>
          <w:i/>
          <w:iCs/>
          <w:highlight w:val="yellow"/>
        </w:rPr>
        <w:t xml:space="preserve">A priori subgroup analyses and/or interaction testing </w:t>
      </w:r>
      <w:r w:rsidR="00807A4D">
        <w:rPr>
          <w:i/>
          <w:iCs/>
          <w:highlight w:val="yellow"/>
        </w:rPr>
        <w:t>including consideration of multiple testing</w:t>
      </w:r>
    </w:p>
    <w:p w14:paraId="1794E481" w14:textId="7BE68ADE" w:rsidR="006D5A65" w:rsidRPr="008E766A" w:rsidRDefault="00882D97" w:rsidP="00CC515B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i/>
          <w:iCs/>
          <w:highlight w:val="yellow"/>
        </w:rPr>
        <w:t>S</w:t>
      </w:r>
      <w:r w:rsidR="00CC515B" w:rsidRPr="002C4EAA">
        <w:rPr>
          <w:i/>
          <w:iCs/>
          <w:highlight w:val="yellow"/>
        </w:rPr>
        <w:t>ensitivity analyses</w:t>
      </w:r>
    </w:p>
    <w:p w14:paraId="566A64AD" w14:textId="63FB180D" w:rsidR="008E766A" w:rsidRPr="008E766A" w:rsidRDefault="008E766A" w:rsidP="008E766A">
      <w:pPr>
        <w:pStyle w:val="ListParagraph"/>
        <w:rPr>
          <w:i/>
          <w:iCs/>
          <w:highlight w:val="yellow"/>
        </w:rPr>
      </w:pPr>
      <w:r w:rsidRPr="008E766A">
        <w:rPr>
          <w:i/>
          <w:iCs/>
          <w:highlight w:val="yellow"/>
        </w:rPr>
        <w:t>If the outcome of the analysis is cardiovascular disease, cancer, end stage liver disease, end stage renal disease, fractures, or mortality, please include a sensitivity analysis analysing validated events only</w:t>
      </w:r>
      <w:r>
        <w:rPr>
          <w:i/>
          <w:iCs/>
          <w:highlight w:val="yellow"/>
        </w:rPr>
        <w:t>.</w:t>
      </w:r>
    </w:p>
    <w:p w14:paraId="6D17F636" w14:textId="4ED7179B" w:rsidR="00D66317" w:rsidRPr="007F1266" w:rsidRDefault="00D66317" w:rsidP="00D66317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i/>
          <w:iCs/>
          <w:highlight w:val="yellow"/>
        </w:rPr>
        <w:t>Sample size or precision estimates for effect measures</w:t>
      </w:r>
    </w:p>
    <w:p w14:paraId="258B53BB" w14:textId="2CFF7E60" w:rsidR="00D66317" w:rsidRPr="00070ED4" w:rsidRDefault="007F1266" w:rsidP="00D66317">
      <w:pPr>
        <w:pStyle w:val="ListParagraph"/>
        <w:numPr>
          <w:ilvl w:val="0"/>
          <w:numId w:val="2"/>
        </w:numPr>
        <w:rPr>
          <w:highlight w:val="yellow"/>
        </w:rPr>
      </w:pPr>
      <w:r w:rsidRPr="005B6A54">
        <w:rPr>
          <w:i/>
          <w:iCs/>
          <w:highlight w:val="yellow"/>
        </w:rPr>
        <w:t xml:space="preserve">Potential </w:t>
      </w:r>
      <w:proofErr w:type="gramStart"/>
      <w:r w:rsidRPr="005B6A54">
        <w:rPr>
          <w:i/>
          <w:iCs/>
          <w:highlight w:val="yellow"/>
        </w:rPr>
        <w:t>biases;</w:t>
      </w:r>
      <w:proofErr w:type="gramEnd"/>
      <w:r w:rsidRPr="005B6A54">
        <w:rPr>
          <w:i/>
          <w:iCs/>
          <w:highlight w:val="yellow"/>
        </w:rPr>
        <w:t xml:space="preserve"> how will they be addressed and potential impact on findings</w:t>
      </w:r>
    </w:p>
    <w:p w14:paraId="60A0070F" w14:textId="250B34AC" w:rsidR="00070ED4" w:rsidRDefault="00070ED4" w:rsidP="00070ED4">
      <w:pPr>
        <w:rPr>
          <w:highlight w:val="yellow"/>
        </w:rPr>
      </w:pPr>
    </w:p>
    <w:p w14:paraId="39F07843" w14:textId="297E2B03" w:rsidR="00070ED4" w:rsidRDefault="00A078DB" w:rsidP="00070ED4">
      <w:pPr>
        <w:pStyle w:val="ListParagraph"/>
        <w:numPr>
          <w:ilvl w:val="0"/>
          <w:numId w:val="1"/>
        </w:numPr>
      </w:pPr>
      <w:r>
        <w:t>Timelines</w:t>
      </w:r>
    </w:p>
    <w:p w14:paraId="1976310E" w14:textId="03215E91" w:rsidR="007C7F92" w:rsidRPr="004717CA" w:rsidRDefault="00DF4309" w:rsidP="007C7F92">
      <w:pPr>
        <w:rPr>
          <w:highlight w:val="yellow"/>
        </w:rPr>
      </w:pPr>
      <w:r w:rsidRPr="004717CA">
        <w:rPr>
          <w:highlight w:val="yellow"/>
        </w:rPr>
        <w:t xml:space="preserve">This section is intended to provide key steps in the analysis when results should be circulated for </w:t>
      </w:r>
      <w:r w:rsidR="007C7F92" w:rsidRPr="004717CA">
        <w:rPr>
          <w:highlight w:val="yellow"/>
        </w:rPr>
        <w:t>review</w:t>
      </w:r>
      <w:r w:rsidR="00A078DB" w:rsidRPr="004717CA">
        <w:rPr>
          <w:highlight w:val="yellow"/>
        </w:rPr>
        <w:t xml:space="preserve"> </w:t>
      </w:r>
      <w:r w:rsidR="007C7F92" w:rsidRPr="004717CA">
        <w:rPr>
          <w:highlight w:val="yellow"/>
        </w:rPr>
        <w:t>by the</w:t>
      </w:r>
      <w:r w:rsidR="00A078DB" w:rsidRPr="004717CA">
        <w:rPr>
          <w:highlight w:val="yellow"/>
        </w:rPr>
        <w:t xml:space="preserve"> statistical team. </w:t>
      </w:r>
      <w:r w:rsidR="002C5B29">
        <w:rPr>
          <w:highlight w:val="yellow"/>
        </w:rPr>
        <w:t xml:space="preserve">A full set of results should be circulated to the statistical team and the writing group for review prior to the circulation of any abstract or </w:t>
      </w:r>
      <w:r w:rsidR="004717CA">
        <w:rPr>
          <w:highlight w:val="yellow"/>
        </w:rPr>
        <w:t>manuscript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701"/>
      </w:tblGrid>
      <w:tr w:rsidR="00DF4309" w:rsidRPr="00DF4309" w14:paraId="6814197F" w14:textId="77777777" w:rsidTr="00E14E37">
        <w:tc>
          <w:tcPr>
            <w:tcW w:w="3256" w:type="dxa"/>
          </w:tcPr>
          <w:p w14:paraId="3A41F647" w14:textId="3B748E07" w:rsidR="00DF4309" w:rsidRPr="004717CA" w:rsidRDefault="00DF4309" w:rsidP="007C7F92">
            <w:pPr>
              <w:rPr>
                <w:highlight w:val="yellow"/>
              </w:rPr>
            </w:pPr>
            <w:r w:rsidRPr="004717CA">
              <w:rPr>
                <w:highlight w:val="yellow"/>
              </w:rPr>
              <w:t>Document</w:t>
            </w:r>
          </w:p>
        </w:tc>
        <w:tc>
          <w:tcPr>
            <w:tcW w:w="1701" w:type="dxa"/>
          </w:tcPr>
          <w:p w14:paraId="0F91D138" w14:textId="0D546A8B" w:rsidR="00DF4309" w:rsidRPr="004717CA" w:rsidRDefault="00DF4309" w:rsidP="007C7F92">
            <w:pPr>
              <w:rPr>
                <w:highlight w:val="yellow"/>
              </w:rPr>
            </w:pPr>
            <w:r w:rsidRPr="004717CA">
              <w:rPr>
                <w:highlight w:val="yellow"/>
              </w:rPr>
              <w:t>Time</w:t>
            </w:r>
            <w:r w:rsidR="006566A9">
              <w:rPr>
                <w:highlight w:val="yellow"/>
              </w:rPr>
              <w:t>line</w:t>
            </w:r>
          </w:p>
        </w:tc>
      </w:tr>
      <w:tr w:rsidR="00DF4309" w:rsidRPr="00DF4309" w14:paraId="61B1DBAA" w14:textId="77777777" w:rsidTr="00E14E37">
        <w:tc>
          <w:tcPr>
            <w:tcW w:w="3256" w:type="dxa"/>
          </w:tcPr>
          <w:p w14:paraId="66231A44" w14:textId="0ACBB123" w:rsidR="00DF4309" w:rsidRPr="004717CA" w:rsidRDefault="00DF4309" w:rsidP="007C7F92">
            <w:pPr>
              <w:rPr>
                <w:highlight w:val="yellow"/>
              </w:rPr>
            </w:pPr>
            <w:r w:rsidRPr="004717CA">
              <w:rPr>
                <w:highlight w:val="yellow"/>
              </w:rPr>
              <w:t>Project proposal and SAP</w:t>
            </w:r>
          </w:p>
        </w:tc>
        <w:tc>
          <w:tcPr>
            <w:tcW w:w="1701" w:type="dxa"/>
          </w:tcPr>
          <w:p w14:paraId="6BB38994" w14:textId="77777777" w:rsidR="00DF4309" w:rsidRPr="004717CA" w:rsidRDefault="00DF4309" w:rsidP="007C7F92">
            <w:pPr>
              <w:rPr>
                <w:highlight w:val="yellow"/>
              </w:rPr>
            </w:pPr>
          </w:p>
        </w:tc>
      </w:tr>
      <w:tr w:rsidR="00DF4309" w:rsidRPr="00DF4309" w14:paraId="252B4B89" w14:textId="77777777" w:rsidTr="00E14E37">
        <w:tc>
          <w:tcPr>
            <w:tcW w:w="3256" w:type="dxa"/>
          </w:tcPr>
          <w:p w14:paraId="7F44EDFB" w14:textId="695DDDD2" w:rsidR="00DF4309" w:rsidRPr="004717CA" w:rsidRDefault="00DF4309" w:rsidP="007C7F92">
            <w:pPr>
              <w:rPr>
                <w:highlight w:val="yellow"/>
              </w:rPr>
            </w:pPr>
            <w:r w:rsidRPr="004717CA">
              <w:rPr>
                <w:highlight w:val="yellow"/>
              </w:rPr>
              <w:t>Analysis results</w:t>
            </w:r>
          </w:p>
        </w:tc>
        <w:tc>
          <w:tcPr>
            <w:tcW w:w="1701" w:type="dxa"/>
          </w:tcPr>
          <w:p w14:paraId="126AC599" w14:textId="77777777" w:rsidR="00DF4309" w:rsidRPr="004717CA" w:rsidRDefault="00DF4309" w:rsidP="007C7F92">
            <w:pPr>
              <w:rPr>
                <w:highlight w:val="yellow"/>
              </w:rPr>
            </w:pPr>
          </w:p>
        </w:tc>
      </w:tr>
      <w:tr w:rsidR="00DF4309" w:rsidRPr="00DF4309" w14:paraId="26D872D6" w14:textId="77777777" w:rsidTr="00E14E37">
        <w:tc>
          <w:tcPr>
            <w:tcW w:w="3256" w:type="dxa"/>
          </w:tcPr>
          <w:p w14:paraId="08FD8F27" w14:textId="42144A69" w:rsidR="00DF4309" w:rsidRPr="004717CA" w:rsidRDefault="00DF4309" w:rsidP="007C7F92">
            <w:pPr>
              <w:rPr>
                <w:highlight w:val="yellow"/>
              </w:rPr>
            </w:pPr>
            <w:r w:rsidRPr="004717CA">
              <w:rPr>
                <w:highlight w:val="yellow"/>
              </w:rPr>
              <w:lastRenderedPageBreak/>
              <w:t>Conference abstract</w:t>
            </w:r>
          </w:p>
        </w:tc>
        <w:tc>
          <w:tcPr>
            <w:tcW w:w="1701" w:type="dxa"/>
          </w:tcPr>
          <w:p w14:paraId="0269907B" w14:textId="77777777" w:rsidR="00DF4309" w:rsidRPr="004717CA" w:rsidRDefault="00DF4309" w:rsidP="007C7F92">
            <w:pPr>
              <w:rPr>
                <w:highlight w:val="yellow"/>
              </w:rPr>
            </w:pPr>
          </w:p>
        </w:tc>
      </w:tr>
      <w:tr w:rsidR="00DF4309" w14:paraId="5683C886" w14:textId="77777777" w:rsidTr="00E14E37">
        <w:tc>
          <w:tcPr>
            <w:tcW w:w="3256" w:type="dxa"/>
          </w:tcPr>
          <w:p w14:paraId="58BA3F67" w14:textId="78B650D8" w:rsidR="00DF4309" w:rsidRDefault="00DF4309" w:rsidP="007C7F92">
            <w:r w:rsidRPr="004717CA">
              <w:rPr>
                <w:highlight w:val="yellow"/>
              </w:rPr>
              <w:t>Draft manuscript</w:t>
            </w:r>
          </w:p>
        </w:tc>
        <w:tc>
          <w:tcPr>
            <w:tcW w:w="1701" w:type="dxa"/>
          </w:tcPr>
          <w:p w14:paraId="7C1F4415" w14:textId="77777777" w:rsidR="00DF4309" w:rsidRDefault="00DF4309" w:rsidP="007C7F92"/>
        </w:tc>
      </w:tr>
    </w:tbl>
    <w:p w14:paraId="635A81DB" w14:textId="49E2BD64" w:rsidR="00070ED4" w:rsidRPr="00070ED4" w:rsidRDefault="00070ED4" w:rsidP="007C7F92"/>
    <w:sectPr w:rsidR="00070ED4" w:rsidRPr="00070ED4" w:rsidSect="00CC515B">
      <w:headerReference w:type="default" r:id="rId9"/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0904" w14:textId="77777777" w:rsidR="008A4735" w:rsidRDefault="008A4735" w:rsidP="00CC515B">
      <w:pPr>
        <w:spacing w:after="0" w:line="240" w:lineRule="auto"/>
      </w:pPr>
      <w:r>
        <w:separator/>
      </w:r>
    </w:p>
  </w:endnote>
  <w:endnote w:type="continuationSeparator" w:id="0">
    <w:p w14:paraId="7676328E" w14:textId="77777777" w:rsidR="008A4735" w:rsidRDefault="008A4735" w:rsidP="00CC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459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F15CB" w14:textId="1A9380F7" w:rsidR="00CC515B" w:rsidRDefault="00CC51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28EB01" w14:textId="77777777" w:rsidR="00CC515B" w:rsidRDefault="00CC5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6812" w14:textId="77777777" w:rsidR="008A4735" w:rsidRDefault="008A4735" w:rsidP="00CC515B">
      <w:pPr>
        <w:spacing w:after="0" w:line="240" w:lineRule="auto"/>
      </w:pPr>
      <w:r>
        <w:separator/>
      </w:r>
    </w:p>
  </w:footnote>
  <w:footnote w:type="continuationSeparator" w:id="0">
    <w:p w14:paraId="0DADC80A" w14:textId="77777777" w:rsidR="008A4735" w:rsidRDefault="008A4735" w:rsidP="00CC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8A37" w14:textId="48E3DB5A" w:rsidR="00CC515B" w:rsidRDefault="00CC515B" w:rsidP="00CC515B">
    <w:pPr>
      <w:pStyle w:val="Header"/>
      <w:jc w:val="right"/>
    </w:pPr>
    <w:r w:rsidRPr="00CC515B">
      <w:rPr>
        <w:noProof/>
      </w:rPr>
      <w:drawing>
        <wp:inline distT="0" distB="0" distL="0" distR="0" wp14:anchorId="6862EDA0" wp14:editId="3642FC7A">
          <wp:extent cx="3071126" cy="701101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1126" cy="701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0358"/>
    <w:multiLevelType w:val="hybridMultilevel"/>
    <w:tmpl w:val="DF7E9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57D5"/>
    <w:multiLevelType w:val="hybridMultilevel"/>
    <w:tmpl w:val="2910BDC4"/>
    <w:lvl w:ilvl="0" w:tplc="DE66A778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435AB"/>
    <w:multiLevelType w:val="hybridMultilevel"/>
    <w:tmpl w:val="ADB0E0C2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996"/>
    <w:multiLevelType w:val="hybridMultilevel"/>
    <w:tmpl w:val="61E4D086"/>
    <w:lvl w:ilvl="0" w:tplc="5A98CF3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629252">
    <w:abstractNumId w:val="0"/>
  </w:num>
  <w:num w:numId="2" w16cid:durableId="1482959527">
    <w:abstractNumId w:val="2"/>
  </w:num>
  <w:num w:numId="3" w16cid:durableId="2138602877">
    <w:abstractNumId w:val="1"/>
  </w:num>
  <w:num w:numId="4" w16cid:durableId="1260794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wNLM0N7cwtTQ3MjJX0lEKTi0uzszPAykwrAUAleCbOCwAAAA="/>
  </w:docVars>
  <w:rsids>
    <w:rsidRoot w:val="006D5A65"/>
    <w:rsid w:val="00011C4C"/>
    <w:rsid w:val="00070ED4"/>
    <w:rsid w:val="00083A3B"/>
    <w:rsid w:val="000F5DD5"/>
    <w:rsid w:val="00141A7E"/>
    <w:rsid w:val="00150FDB"/>
    <w:rsid w:val="0016625C"/>
    <w:rsid w:val="001773C1"/>
    <w:rsid w:val="00192CF9"/>
    <w:rsid w:val="001C6F13"/>
    <w:rsid w:val="001D4BE9"/>
    <w:rsid w:val="00247721"/>
    <w:rsid w:val="002A0405"/>
    <w:rsid w:val="002C4EAA"/>
    <w:rsid w:val="002C5B29"/>
    <w:rsid w:val="002E42FD"/>
    <w:rsid w:val="003835FE"/>
    <w:rsid w:val="004717CA"/>
    <w:rsid w:val="00591152"/>
    <w:rsid w:val="005A4011"/>
    <w:rsid w:val="005B6A54"/>
    <w:rsid w:val="006411E1"/>
    <w:rsid w:val="006566A9"/>
    <w:rsid w:val="006B57D4"/>
    <w:rsid w:val="006D5A65"/>
    <w:rsid w:val="006F177F"/>
    <w:rsid w:val="00737207"/>
    <w:rsid w:val="00771B14"/>
    <w:rsid w:val="007C7F92"/>
    <w:rsid w:val="007F1266"/>
    <w:rsid w:val="00807A4D"/>
    <w:rsid w:val="008346FB"/>
    <w:rsid w:val="00854AA3"/>
    <w:rsid w:val="00882002"/>
    <w:rsid w:val="00882D97"/>
    <w:rsid w:val="008A4735"/>
    <w:rsid w:val="008B6B6A"/>
    <w:rsid w:val="008E766A"/>
    <w:rsid w:val="00922E46"/>
    <w:rsid w:val="00A078DB"/>
    <w:rsid w:val="00A35BEB"/>
    <w:rsid w:val="00B059C2"/>
    <w:rsid w:val="00B11D2C"/>
    <w:rsid w:val="00B232C9"/>
    <w:rsid w:val="00BD24EB"/>
    <w:rsid w:val="00BF51A3"/>
    <w:rsid w:val="00C10266"/>
    <w:rsid w:val="00CA2EBA"/>
    <w:rsid w:val="00CC515B"/>
    <w:rsid w:val="00D4002B"/>
    <w:rsid w:val="00D42692"/>
    <w:rsid w:val="00D618A9"/>
    <w:rsid w:val="00D66317"/>
    <w:rsid w:val="00D91604"/>
    <w:rsid w:val="00DA338E"/>
    <w:rsid w:val="00DF4309"/>
    <w:rsid w:val="00E14E37"/>
    <w:rsid w:val="00E40BB4"/>
    <w:rsid w:val="00E76613"/>
    <w:rsid w:val="00EE428A"/>
    <w:rsid w:val="00F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B00A9A"/>
  <w15:chartTrackingRefBased/>
  <w15:docId w15:val="{BB82449E-C682-455C-8A76-3EF78120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65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6D5A65"/>
    <w:pPr>
      <w:keepNext/>
      <w:spacing w:after="360" w:line="240" w:lineRule="auto"/>
      <w:contextualSpacing/>
    </w:pPr>
    <w:rPr>
      <w:iCs/>
      <w:sz w:val="20"/>
      <w:szCs w:val="18"/>
    </w:rPr>
  </w:style>
  <w:style w:type="table" w:styleId="TableGrid">
    <w:name w:val="Table Grid"/>
    <w:basedOn w:val="TableNormal"/>
    <w:uiPriority w:val="39"/>
    <w:rsid w:val="006D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">
    <w:name w:val="Table content"/>
    <w:basedOn w:val="Normal"/>
    <w:qFormat/>
    <w:rsid w:val="006D5A65"/>
    <w:pPr>
      <w:spacing w:after="0" w:line="240" w:lineRule="auto"/>
      <w:jc w:val="center"/>
    </w:pPr>
  </w:style>
  <w:style w:type="character" w:customStyle="1" w:styleId="e24kjd">
    <w:name w:val="e24kjd"/>
    <w:basedOn w:val="DefaultParagraphFont"/>
    <w:rsid w:val="006D5A65"/>
  </w:style>
  <w:style w:type="character" w:styleId="FootnoteReference">
    <w:name w:val="footnote reference"/>
    <w:basedOn w:val="DefaultParagraphFont"/>
    <w:uiPriority w:val="99"/>
    <w:semiHidden/>
    <w:unhideWhenUsed/>
    <w:rsid w:val="006D5A65"/>
    <w:rPr>
      <w:vertAlign w:val="superscript"/>
    </w:rPr>
  </w:style>
  <w:style w:type="character" w:customStyle="1" w:styleId="hgkelc">
    <w:name w:val="hgkelc"/>
    <w:basedOn w:val="DefaultParagraphFont"/>
    <w:rsid w:val="006D5A65"/>
  </w:style>
  <w:style w:type="paragraph" w:styleId="Header">
    <w:name w:val="header"/>
    <w:basedOn w:val="Normal"/>
    <w:link w:val="HeaderChar"/>
    <w:uiPriority w:val="99"/>
    <w:unhideWhenUsed/>
    <w:rsid w:val="00CC5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15B"/>
  </w:style>
  <w:style w:type="paragraph" w:styleId="Footer">
    <w:name w:val="footer"/>
    <w:basedOn w:val="Normal"/>
    <w:link w:val="FooterChar"/>
    <w:uiPriority w:val="99"/>
    <w:unhideWhenUsed/>
    <w:rsid w:val="00CC5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15B"/>
  </w:style>
  <w:style w:type="character" w:styleId="CommentReference">
    <w:name w:val="annotation reference"/>
    <w:basedOn w:val="DefaultParagraphFont"/>
    <w:uiPriority w:val="99"/>
    <w:semiHidden/>
    <w:unhideWhenUsed/>
    <w:rsid w:val="00D42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6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73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3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35F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05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egionh.top.local\dfs\Logget\LovbeskyttetMapper\RESPOND-STAT\RESPOND_SAP\Methodology%20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9C73-3C8E-433F-A3E5-4C157760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7893</Characters>
  <Application>Microsoft Office Word</Application>
  <DocSecurity>0</DocSecurity>
  <Lines>282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Mocroft</dc:creator>
  <cp:keywords/>
  <dc:description/>
  <cp:lastModifiedBy>Alisa Timiryasova</cp:lastModifiedBy>
  <cp:revision>2</cp:revision>
  <dcterms:created xsi:type="dcterms:W3CDTF">2024-03-25T10:48:00Z</dcterms:created>
  <dcterms:modified xsi:type="dcterms:W3CDTF">2024-03-25T10:48:00Z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37cb7cbe98b85129ca9953adb6b334fcb92c8a286339277c9f8dedd004268ab0</vt:lpwstr>
  </property>
</Properties>
</file>